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36F61" w14:textId="77777777" w:rsidR="00646FD9" w:rsidRDefault="00646FD9" w:rsidP="00646FD9">
      <w:pPr>
        <w:pStyle w:val="Identificaodapea"/>
        <w:jc w:val="center"/>
        <w:rPr>
          <w:rStyle w:val="TipodepeaChar"/>
        </w:rPr>
      </w:pPr>
      <w:bookmarkStart w:id="0" w:name="_GoBack"/>
      <w:bookmarkEnd w:id="0"/>
      <w:r>
        <w:rPr>
          <w:rStyle w:val="TipodepeaChar"/>
        </w:rPr>
        <w:t>Parecer</w:t>
      </w:r>
    </w:p>
    <w:p w14:paraId="4964969B" w14:textId="77777777" w:rsidR="00646FD9" w:rsidRDefault="00646FD9" w:rsidP="00646FD9">
      <w:pPr>
        <w:pStyle w:val="Identificaodapea"/>
        <w:jc w:val="center"/>
        <w:rPr>
          <w:rStyle w:val="TipodepeaChar"/>
        </w:rPr>
      </w:pPr>
    </w:p>
    <w:p w14:paraId="32F2A541" w14:textId="77777777" w:rsidR="00646FD9" w:rsidRDefault="00646FD9" w:rsidP="00646FD9">
      <w:pPr>
        <w:pStyle w:val="Identificaodapea"/>
      </w:pPr>
      <w:r>
        <w:rPr>
          <w:b/>
        </w:rPr>
        <w:t>Processo nº 2041760-31.2019.8.26.0000</w:t>
      </w:r>
    </w:p>
    <w:p w14:paraId="21BA8C80" w14:textId="77777777" w:rsidR="00646FD9" w:rsidRDefault="00646FD9" w:rsidP="00646FD9">
      <w:pPr>
        <w:pStyle w:val="Identificaodapea"/>
        <w:rPr>
          <w:b/>
        </w:rPr>
      </w:pPr>
      <w:r>
        <w:rPr>
          <w:b/>
        </w:rPr>
        <w:t>Ação Direta de Inconstitucionalidade</w:t>
      </w:r>
    </w:p>
    <w:p w14:paraId="0CACD4D5" w14:textId="77777777" w:rsidR="00646FD9" w:rsidRDefault="00646FD9" w:rsidP="00646FD9">
      <w:pPr>
        <w:pStyle w:val="Identificaodapea"/>
        <w:rPr>
          <w:b/>
        </w:rPr>
      </w:pPr>
      <w:r>
        <w:rPr>
          <w:b/>
        </w:rPr>
        <w:t>Requerente: Procurador-Geral de Justiça</w:t>
      </w:r>
    </w:p>
    <w:p w14:paraId="5D6DAA0C" w14:textId="77777777" w:rsidR="00646FD9" w:rsidRDefault="00646FD9" w:rsidP="00646FD9">
      <w:pPr>
        <w:pStyle w:val="Identificaodapea"/>
        <w:rPr>
          <w:b/>
        </w:rPr>
      </w:pPr>
      <w:r>
        <w:rPr>
          <w:b/>
        </w:rPr>
        <w:t>Requeridos: Prefeito Municipal e Câmara Municipal de Ribeirão Bonito</w:t>
      </w:r>
    </w:p>
    <w:p w14:paraId="532170D0" w14:textId="77777777" w:rsidR="00646FD9" w:rsidRDefault="00646FD9" w:rsidP="00646FD9">
      <w:pPr>
        <w:pStyle w:val="Identificaodapea"/>
        <w:rPr>
          <w:b/>
        </w:rPr>
      </w:pPr>
    </w:p>
    <w:p w14:paraId="44F1CF54" w14:textId="77777777" w:rsidR="00646FD9" w:rsidRDefault="00646FD9" w:rsidP="00646FD9">
      <w:pPr>
        <w:pStyle w:val="Identificaodapea"/>
        <w:rPr>
          <w:sz w:val="26"/>
          <w:szCs w:val="26"/>
        </w:rPr>
      </w:pPr>
    </w:p>
    <w:p w14:paraId="0BAB9559" w14:textId="77777777" w:rsidR="00646FD9" w:rsidRDefault="00646FD9" w:rsidP="00646FD9">
      <w:pPr>
        <w:pStyle w:val="Identificaodapea"/>
        <w:rPr>
          <w:sz w:val="26"/>
          <w:szCs w:val="26"/>
        </w:rPr>
      </w:pPr>
    </w:p>
    <w:p w14:paraId="508D23EA" w14:textId="77777777" w:rsidR="00646FD9" w:rsidRDefault="00646FD9" w:rsidP="00646FD9">
      <w:pPr>
        <w:pStyle w:val="3Ementa1"/>
        <w:ind w:firstLine="0"/>
      </w:pPr>
      <w:r>
        <w:t xml:space="preserve">Constitucional. Administrativo. Ação direta de inconstitucionalidade. Lei nº 1.945, de 16 de outubro de 2.007, do Município de Ribeirão Bonito. Concessão de auxílio-alimentação aos servidores municipais. Extensão aos inativos e pensionistas. </w:t>
      </w:r>
    </w:p>
    <w:p w14:paraId="51A7A4C5" w14:textId="77777777" w:rsidR="00646FD9" w:rsidRDefault="00646FD9" w:rsidP="00646FD9">
      <w:pPr>
        <w:pStyle w:val="3Ementa2"/>
        <w:ind w:firstLine="0"/>
        <w:rPr>
          <w:kern w:val="0"/>
          <w:sz w:val="28"/>
        </w:rPr>
      </w:pPr>
      <w:r>
        <w:rPr>
          <w:b/>
          <w:bCs/>
          <w:smallCaps/>
        </w:rPr>
        <w:t xml:space="preserve">1. </w:t>
      </w:r>
      <w:r>
        <w:t xml:space="preserve">O auxílio-alimentação consiste em vantagem pecuniária de natureza indenizatória </w:t>
      </w:r>
      <w:r>
        <w:rPr>
          <w:i/>
        </w:rPr>
        <w:t xml:space="preserve">pro labore </w:t>
      </w:r>
      <w:proofErr w:type="spellStart"/>
      <w:r>
        <w:rPr>
          <w:i/>
        </w:rPr>
        <w:t>faciendo</w:t>
      </w:r>
      <w:proofErr w:type="spellEnd"/>
      <w:r>
        <w:t xml:space="preserve">, fundado no exercício do cargo.  Jurisprudência do STF e TJ/SP que refuta a percepção dessa vantagem pecuniária indenizatória por aqueles afastados da carreira, inativos ou que não se encontrem no efetivo exercício do cargo.  Súmula Vinculante n. 55. Violação dos </w:t>
      </w:r>
      <w:proofErr w:type="spellStart"/>
      <w:r>
        <w:t>arts</w:t>
      </w:r>
      <w:proofErr w:type="spellEnd"/>
      <w:r>
        <w:t>. 111 e 128 da Constituição Federal</w:t>
      </w:r>
      <w:r>
        <w:rPr>
          <w:sz w:val="28"/>
        </w:rPr>
        <w:t xml:space="preserve">. </w:t>
      </w:r>
    </w:p>
    <w:p w14:paraId="2768EE76" w14:textId="77777777" w:rsidR="00646FD9" w:rsidRDefault="00646FD9" w:rsidP="00646FD9">
      <w:pPr>
        <w:pStyle w:val="3Ementa2"/>
        <w:ind w:left="2124" w:firstLine="708"/>
      </w:pPr>
      <w:r>
        <w:rPr>
          <w:b/>
        </w:rPr>
        <w:t>2</w:t>
      </w:r>
      <w:r>
        <w:t>. Procedência do pedido.</w:t>
      </w:r>
    </w:p>
    <w:p w14:paraId="7F90F6FC" w14:textId="77777777" w:rsidR="00646FD9" w:rsidRDefault="00646FD9" w:rsidP="00646FD9">
      <w:pPr>
        <w:pStyle w:val="Ementa"/>
      </w:pPr>
    </w:p>
    <w:p w14:paraId="776024BE" w14:textId="77777777" w:rsidR="00646FD9" w:rsidRDefault="00646FD9" w:rsidP="00646FD9">
      <w:pPr>
        <w:pStyle w:val="Ementa"/>
      </w:pPr>
    </w:p>
    <w:p w14:paraId="3E6E8F53" w14:textId="77777777" w:rsidR="00646FD9" w:rsidRDefault="00646FD9" w:rsidP="00646FD9">
      <w:pPr>
        <w:pStyle w:val="Corpodapea"/>
        <w:ind w:firstLine="0"/>
        <w:jc w:val="center"/>
        <w:rPr>
          <w:b/>
        </w:rPr>
      </w:pPr>
      <w:r>
        <w:rPr>
          <w:b/>
        </w:rPr>
        <w:t>Colendo Órgão Especial,</w:t>
      </w:r>
    </w:p>
    <w:p w14:paraId="327D3832" w14:textId="77777777" w:rsidR="00646FD9" w:rsidRDefault="00646FD9" w:rsidP="00646FD9">
      <w:pPr>
        <w:pStyle w:val="Corpodapea"/>
        <w:ind w:firstLine="0"/>
        <w:jc w:val="center"/>
        <w:rPr>
          <w:b/>
        </w:rPr>
      </w:pPr>
      <w:r>
        <w:rPr>
          <w:b/>
        </w:rPr>
        <w:t>Douto Desembargador Relator:</w:t>
      </w:r>
    </w:p>
    <w:p w14:paraId="08E1B63A" w14:textId="77777777" w:rsidR="00646FD9" w:rsidRDefault="00646FD9" w:rsidP="00646FD9">
      <w:pPr>
        <w:pStyle w:val="Corpodapea"/>
        <w:rPr>
          <w:szCs w:val="28"/>
        </w:rPr>
      </w:pPr>
    </w:p>
    <w:p w14:paraId="56187D4D" w14:textId="77777777" w:rsidR="00646FD9" w:rsidRDefault="00646FD9" w:rsidP="00646FD9">
      <w:pPr>
        <w:pStyle w:val="4Corpo"/>
      </w:pPr>
      <w:r>
        <w:t xml:space="preserve">Trata-se de ação direta de inconstitucionalidade movida pelo nobre Procurador-Geral de Justiça do Estado de São Paulo tendo como alvo o § 2º do art. 3º da Lei nº 1.945, de 16 de outubro de 2.007, do Município de Ribeirão </w:t>
      </w:r>
      <w:r>
        <w:lastRenderedPageBreak/>
        <w:t xml:space="preserve">Bonito, por estender o “auxílio-alimentação” a inativos e pensionistas, em descompasso com os </w:t>
      </w:r>
      <w:proofErr w:type="spellStart"/>
      <w:r>
        <w:t>arts</w:t>
      </w:r>
      <w:proofErr w:type="spellEnd"/>
      <w:r>
        <w:t>. 111, 128 e 144, da Constituição do Estado (fls. 01/14).</w:t>
      </w:r>
    </w:p>
    <w:p w14:paraId="048BCF97" w14:textId="77777777" w:rsidR="00646FD9" w:rsidRDefault="00646FD9" w:rsidP="00646FD9">
      <w:pPr>
        <w:pStyle w:val="4Corpo"/>
      </w:pPr>
      <w:r>
        <w:t>O pedido liminar foi deferido (fls. 54/58).</w:t>
      </w:r>
    </w:p>
    <w:p w14:paraId="02A77474" w14:textId="77777777" w:rsidR="00646FD9" w:rsidRDefault="00646FD9" w:rsidP="00646FD9">
      <w:pPr>
        <w:pStyle w:val="Corpodapea"/>
        <w:spacing w:after="120"/>
      </w:pPr>
      <w:r>
        <w:t xml:space="preserve">A Prefeitura Municipal de Ribeirão Bonito prestou informações (fl. 72), concordando com a inconstitucionalidade do dispositivo normativo impugnado, sobretudo frente ao que dispõe a Súmula Vinculante nº 55 do Supremo Tribunal Federal (fl. 72). </w:t>
      </w:r>
    </w:p>
    <w:p w14:paraId="6D2B3A23" w14:textId="77777777" w:rsidR="00646FD9" w:rsidRDefault="00646FD9" w:rsidP="00646FD9">
      <w:pPr>
        <w:pStyle w:val="4Corpo"/>
      </w:pPr>
      <w:r>
        <w:t xml:space="preserve">A Câmara Municipal daquela localidade também se posicionou pela inconstitucionalidade da norma vergastada, ressaltando, porém, que a iniciativa legislativa da matéria pertence ao Chefe do Executivo Municipal, o que inviabiliza a propositura de alteração legislativa por aquela Casa (fls. 84/85). </w:t>
      </w:r>
    </w:p>
    <w:p w14:paraId="2E62532B" w14:textId="77777777" w:rsidR="00646FD9" w:rsidRDefault="00646FD9" w:rsidP="00646FD9">
      <w:pPr>
        <w:pStyle w:val="4Corpo"/>
      </w:pPr>
      <w:r>
        <w:t xml:space="preserve">No mais, embora regularmente notificada, decorreu </w:t>
      </w:r>
      <w:r>
        <w:rPr>
          <w:i/>
        </w:rPr>
        <w:t>in albis</w:t>
      </w:r>
      <w:r>
        <w:t xml:space="preserve"> o prazo legal sem manifestação da douta Procuradora-Geral do Estado, como certificado nos autos (fl. 68).</w:t>
      </w:r>
    </w:p>
    <w:p w14:paraId="0D1D6C2B" w14:textId="77777777" w:rsidR="00646FD9" w:rsidRDefault="00646FD9" w:rsidP="00646FD9">
      <w:pPr>
        <w:pStyle w:val="4Corpo"/>
      </w:pPr>
      <w:r>
        <w:t>É o relatório.</w:t>
      </w:r>
    </w:p>
    <w:p w14:paraId="3CCB7567" w14:textId="77777777" w:rsidR="00646FD9" w:rsidRDefault="00646FD9" w:rsidP="00646FD9">
      <w:pPr>
        <w:pStyle w:val="4Corpo"/>
      </w:pPr>
      <w:r>
        <w:t xml:space="preserve">Observa-se que não foram apresentados argumentos contrários à procedência do pedido, motivo pelo qual, em observância ao princípio da economia processual, reportamo-nos aos argumentos desenvolvidos na exordial (fls. 01/14). </w:t>
      </w:r>
    </w:p>
    <w:p w14:paraId="6463CAB4" w14:textId="77777777" w:rsidR="00646FD9" w:rsidRDefault="00646FD9" w:rsidP="00646FD9">
      <w:pPr>
        <w:pStyle w:val="4Corpo"/>
      </w:pPr>
      <w:r>
        <w:t>Vejamos novamente.</w:t>
      </w:r>
    </w:p>
    <w:p w14:paraId="636456DF" w14:textId="77777777" w:rsidR="00646FD9" w:rsidRDefault="00646FD9" w:rsidP="00646FD9">
      <w:pPr>
        <w:pStyle w:val="4Corpo"/>
      </w:pPr>
      <w:r>
        <w:t xml:space="preserve">O § 2º do art. 3º da Lei nº 1.945, de 16 de outubro de 2.007, do Município de Ribeirão Bonito, ao estender o “auxílio-alimentação” aos servidores inativos e a pensionistas do Poder Público Municipal, viola os </w:t>
      </w:r>
      <w:proofErr w:type="spellStart"/>
      <w:r>
        <w:t>arts</w:t>
      </w:r>
      <w:proofErr w:type="spellEnd"/>
      <w:r>
        <w:t>. 111 e 128 da Constituição Estadual, aplicáveis aos Municípios por força do art. 144 daquela Carta.</w:t>
      </w:r>
    </w:p>
    <w:p w14:paraId="1B65900A" w14:textId="77777777" w:rsidR="00646FD9" w:rsidRDefault="00646FD9" w:rsidP="00646FD9">
      <w:pPr>
        <w:pStyle w:val="4Corpo"/>
      </w:pPr>
      <w:r>
        <w:t xml:space="preserve">A razão é simples. O auxílio-alimentação </w:t>
      </w:r>
      <w:r>
        <w:rPr>
          <w:b/>
        </w:rPr>
        <w:t>tem natureza indenizatória e, por isso, não se estende aos inativos e pensionistas.</w:t>
      </w:r>
    </w:p>
    <w:p w14:paraId="2253A01C" w14:textId="77777777" w:rsidR="00646FD9" w:rsidRDefault="00646FD9" w:rsidP="00646FD9">
      <w:pPr>
        <w:pStyle w:val="4Corpo"/>
      </w:pPr>
      <w:r>
        <w:t xml:space="preserve">Referido instituto consiste em vantagem pecuniária </w:t>
      </w:r>
      <w:r>
        <w:rPr>
          <w:i/>
        </w:rPr>
        <w:t xml:space="preserve">pro labore </w:t>
      </w:r>
      <w:proofErr w:type="spellStart"/>
      <w:r>
        <w:rPr>
          <w:i/>
        </w:rPr>
        <w:t>faciendo</w:t>
      </w:r>
      <w:proofErr w:type="spellEnd"/>
      <w:r>
        <w:t xml:space="preserve"> e tem seu contorno jurídico estabelecido pelo Supremo Tribunal Federal como direito que depende do efetivo exercício e que “</w:t>
      </w:r>
      <w:r>
        <w:rPr>
          <w:i/>
        </w:rPr>
        <w:t>não se estende aos inativos e pensionistas, vez que se trata de verba indenizatória destinada a cobrir os custos de refeição devida exclusivamente ao servidor que se encontrar no exercício de suas funções, não se incorporando à remuneração nem aos proventos de aposentadoria</w:t>
      </w:r>
      <w:r>
        <w:t xml:space="preserve">” (STF, </w:t>
      </w:r>
      <w:proofErr w:type="spellStart"/>
      <w:r>
        <w:t>AgR-AI</w:t>
      </w:r>
      <w:proofErr w:type="spellEnd"/>
      <w:r>
        <w:t xml:space="preserve"> 586.615-PR, 2ª Turma, Rel. Min. Eros Grau, 08-08-2006, </w:t>
      </w:r>
      <w:proofErr w:type="spellStart"/>
      <w:r>
        <w:t>v.u</w:t>
      </w:r>
      <w:proofErr w:type="spellEnd"/>
      <w:r>
        <w:t>., DJ 01-09-2006, p. 37).</w:t>
      </w:r>
    </w:p>
    <w:p w14:paraId="7D3208CB" w14:textId="77777777" w:rsidR="00646FD9" w:rsidRDefault="00646FD9" w:rsidP="00646FD9">
      <w:pPr>
        <w:pStyle w:val="4Corpo"/>
      </w:pPr>
      <w:r>
        <w:t>São eloquentes os pronunciamentos a respeito da natureza jurídica do auxílio-alimentação, como o seu caráter indenizatório e a impossibilidade de incorporação ou extensão aos inativos, tais como destacam os seguintes julgados: TJ/SP, ADI nº 2238303-46.2015.8.26.0000, Rel. Des. Ricardo Anafe, julgado em 18 de maio de 2016; e TJ/SP, ADI nº 2146475-66.2015.8.26.0000, Rel. Des. Carlos Bueno, julgado em 27 de janeiro de 2016.</w:t>
      </w:r>
    </w:p>
    <w:p w14:paraId="03883D8D" w14:textId="77777777" w:rsidR="00646FD9" w:rsidRDefault="00646FD9" w:rsidP="00646FD9">
      <w:pPr>
        <w:pStyle w:val="4Corpo"/>
      </w:pPr>
      <w:r>
        <w:t xml:space="preserve">Inclusive, está assentado pela Suprema Corte que a percepção do auxílio-alimentação depende, dada a sua natureza indenizatória, do </w:t>
      </w:r>
      <w:r>
        <w:rPr>
          <w:u w:val="single"/>
        </w:rPr>
        <w:t>efetivo exercício</w:t>
      </w:r>
      <w:r>
        <w:t xml:space="preserve"> de suas funções pelo agente público; portanto, a ele não têm direito o inativo nem o pensionista, como resume a </w:t>
      </w:r>
      <w:r>
        <w:rPr>
          <w:b/>
        </w:rPr>
        <w:t>Súmula Vinculante n° 55 do Supremo Tribunal Federal</w:t>
      </w:r>
      <w:r>
        <w:t>:</w:t>
      </w:r>
    </w:p>
    <w:p w14:paraId="1CADE99F" w14:textId="77777777" w:rsidR="00646FD9" w:rsidRDefault="00646FD9" w:rsidP="00646FD9">
      <w:pPr>
        <w:pStyle w:val="5Citao"/>
        <w:ind w:firstLine="0"/>
      </w:pPr>
      <w:r>
        <w:t>“O direito ao auxílio-alimentação não se estende aos servidores inativos”.</w:t>
      </w:r>
    </w:p>
    <w:p w14:paraId="56E8305C" w14:textId="77777777" w:rsidR="00646FD9" w:rsidRDefault="00646FD9" w:rsidP="00646FD9">
      <w:pPr>
        <w:pStyle w:val="4Corpo"/>
        <w:rPr>
          <w:b/>
        </w:rPr>
      </w:pPr>
      <w:r>
        <w:t xml:space="preserve">Esse, aliás, já era o entendimento consubstanciado na Súmula nº 680 do Supremo Tribunal Federal, </w:t>
      </w:r>
      <w:r>
        <w:rPr>
          <w:b/>
        </w:rPr>
        <w:t>incidindo na espécie, portanto, o artigo 927, II, do CPC/2015.</w:t>
      </w:r>
    </w:p>
    <w:p w14:paraId="24940AB9" w14:textId="77777777" w:rsidR="00646FD9" w:rsidRDefault="00646FD9" w:rsidP="00646FD9">
      <w:pPr>
        <w:pStyle w:val="4Corpo"/>
      </w:pPr>
      <w:r>
        <w:t>Ora, tratando-se de verba de caráter indenizatório, só se mostra legítima sua concessão aos servidores em atividade, não aos inativos e pensionistas.</w:t>
      </w:r>
    </w:p>
    <w:p w14:paraId="5E6C11C1" w14:textId="77777777" w:rsidR="00646FD9" w:rsidRDefault="00646FD9" w:rsidP="00646FD9">
      <w:pPr>
        <w:pStyle w:val="4Corpo"/>
      </w:pPr>
      <w:r>
        <w:t>Dessa forma, a extensão do auxílio-alimentação a servidores inativos e a pensionistas também não encontra apoio no interesse público e nas exigências do serviço, contrariando o art. 128 da Constituição Paulista, aplicável aos Municípios por força do art. 144 da mesma Carta.</w:t>
      </w:r>
    </w:p>
    <w:p w14:paraId="72F1FBF1" w14:textId="77777777" w:rsidR="00646FD9" w:rsidRDefault="00646FD9" w:rsidP="00646FD9">
      <w:pPr>
        <w:pStyle w:val="4Corpo"/>
      </w:pPr>
      <w:r>
        <w:t xml:space="preserve">Manifesta-se, outrossim, o desrespeito ao princípio da razoabilidade, assentado no art. 111 da Constituição do Estado, extensível aos Municípios por obra de seu art. 144 -, pela desnecessidade de previsão normativa e por sua inadequação do ponto de vista do Poder Público, bem ainda pela falta de proporcionalidade em sentido estrito, ao criar encargos que não se justificam: </w:t>
      </w:r>
      <w:r>
        <w:rPr>
          <w:b/>
          <w:u w:val="single"/>
        </w:rPr>
        <w:t>não se pode efetuar o pagamento de verba indenizatória a inativos e pensionistas</w:t>
      </w:r>
      <w:r>
        <w:t xml:space="preserve"> (recorde-se, mais uma vez, o caráter indenizatório do auxílio-alimentação) sem que haja razão legítima para tanto.</w:t>
      </w:r>
    </w:p>
    <w:p w14:paraId="485B3CCB" w14:textId="77777777" w:rsidR="00646FD9" w:rsidRDefault="00646FD9" w:rsidP="00646FD9">
      <w:pPr>
        <w:pStyle w:val="4Corpo"/>
      </w:pPr>
      <w:r>
        <w:t xml:space="preserve">Esse raciocínio tem sido acolhido pela doutrina e pela jurisprudência como argumento suficiente para, por desconsideração a um dos três aspectos do “teste de razoabilidade”, afastar-se a legitimidade do ato normativo ou administrativo.  </w:t>
      </w:r>
    </w:p>
    <w:p w14:paraId="6F38157B" w14:textId="77777777" w:rsidR="00646FD9" w:rsidRDefault="00646FD9" w:rsidP="00646FD9">
      <w:pPr>
        <w:pStyle w:val="4Corpo"/>
      </w:pPr>
      <w:r>
        <w:t xml:space="preserve">Confira-se: Diogo de Figueiredo Moreira Neto, </w:t>
      </w:r>
      <w:r>
        <w:rPr>
          <w:i/>
        </w:rPr>
        <w:t>Curso de Direito Administrativo</w:t>
      </w:r>
      <w:r>
        <w:t xml:space="preserve">, 14ª ed., Rio de Janeiro, Forense, 2006, p. 101; Maria Sylvia Zanella Di Pietro, </w:t>
      </w:r>
      <w:r>
        <w:rPr>
          <w:i/>
        </w:rPr>
        <w:t>Direito Administrativo</w:t>
      </w:r>
      <w:r>
        <w:t xml:space="preserve">, 19ª ed., São Paulo, Atlas, 2006, p. 95; Gilmar Ferreira Mendes, “A proporcionalidade na jurisprudência do STF”, publicado em </w:t>
      </w:r>
      <w:r>
        <w:rPr>
          <w:i/>
        </w:rPr>
        <w:t>Direitos fundamentais e controle de constitucionalidade</w:t>
      </w:r>
      <w:r>
        <w:t xml:space="preserve">, São Paulo, Instituto Brasileiro de Direito Constitucional e Celso Bastos Editor, 1998, p. 83. </w:t>
      </w:r>
    </w:p>
    <w:p w14:paraId="559CF270" w14:textId="77777777" w:rsidR="00646FD9" w:rsidRDefault="00646FD9" w:rsidP="00646FD9">
      <w:pPr>
        <w:spacing w:after="120"/>
      </w:pPr>
      <w:r>
        <w:t xml:space="preserve">Dessa forma, está claramente configurada a incompatibilidade dispositivo normativo impugnado com os </w:t>
      </w:r>
      <w:proofErr w:type="spellStart"/>
      <w:r>
        <w:t>arts</w:t>
      </w:r>
      <w:proofErr w:type="spellEnd"/>
      <w:r>
        <w:t xml:space="preserve">. 111 e 128 da Constituição Estadual, aplicáveis aos Municípios por força do art. 144 da mesma Carta.  </w:t>
      </w:r>
    </w:p>
    <w:p w14:paraId="010D9C1E" w14:textId="77777777" w:rsidR="00646FD9" w:rsidRDefault="00646FD9" w:rsidP="00646FD9">
      <w:pPr>
        <w:pStyle w:val="4Corpo"/>
      </w:pPr>
      <w:r>
        <w:t>Face ao exposto, opino pela procedência</w:t>
      </w:r>
      <w:r>
        <w:rPr>
          <w:b/>
        </w:rPr>
        <w:t xml:space="preserve"> </w:t>
      </w:r>
      <w:r>
        <w:t>da ação direta para declarar a inconstitucionalidade do § 2º do art. 3º da Lei nº 1.945, de 16 de outubro de 2.007, do Município de Ribeirão Bonito.</w:t>
      </w:r>
    </w:p>
    <w:p w14:paraId="022ACDD2" w14:textId="77777777" w:rsidR="00646FD9" w:rsidRDefault="00646FD9" w:rsidP="00646FD9">
      <w:pPr>
        <w:pStyle w:val="Corpodapea"/>
        <w:rPr>
          <w:b/>
        </w:rPr>
      </w:pPr>
      <w:r>
        <w:t xml:space="preserve">É o parecer. </w:t>
      </w:r>
    </w:p>
    <w:p w14:paraId="3F269721" w14:textId="77777777" w:rsidR="00646FD9" w:rsidRDefault="00646FD9" w:rsidP="00646FD9">
      <w:pPr>
        <w:pStyle w:val="6Assinatura"/>
        <w:rPr>
          <w:b w:val="0"/>
        </w:rPr>
      </w:pPr>
      <w:r>
        <w:rPr>
          <w:b w:val="0"/>
        </w:rPr>
        <w:t>São Paulo, 07 de maio de 2019</w:t>
      </w:r>
      <w:r>
        <w:rPr>
          <w:b w:val="0"/>
        </w:rPr>
        <w:fldChar w:fldCharType="begin"/>
      </w:r>
      <w:r>
        <w:rPr>
          <w:b w:val="0"/>
        </w:rPr>
        <w:instrText xml:space="preserve">  </w:instrText>
      </w:r>
      <w:r>
        <w:rPr>
          <w:b w:val="0"/>
        </w:rPr>
        <w:fldChar w:fldCharType="end"/>
      </w:r>
      <w:r>
        <w:rPr>
          <w:b w:val="0"/>
        </w:rPr>
        <w:t>.</w:t>
      </w:r>
    </w:p>
    <w:p w14:paraId="4680A7E9" w14:textId="77777777" w:rsidR="00646FD9" w:rsidRDefault="00646FD9" w:rsidP="00646FD9">
      <w:pPr>
        <w:pStyle w:val="6Assinatura"/>
      </w:pPr>
    </w:p>
    <w:p w14:paraId="50B67BD9" w14:textId="77777777" w:rsidR="00646FD9" w:rsidRDefault="00646FD9" w:rsidP="00646FD9">
      <w:pPr>
        <w:pStyle w:val="6Assinatura"/>
        <w:jc w:val="both"/>
      </w:pPr>
    </w:p>
    <w:p w14:paraId="03BA0462" w14:textId="77777777" w:rsidR="00646FD9" w:rsidRDefault="00646FD9" w:rsidP="00646FD9">
      <w:pPr>
        <w:pStyle w:val="6Assinatura"/>
      </w:pPr>
      <w:r>
        <w:t>Wallace Paiva Martins Junior</w:t>
      </w:r>
    </w:p>
    <w:p w14:paraId="1246E132" w14:textId="77777777" w:rsidR="00646FD9" w:rsidRDefault="00646FD9" w:rsidP="00646FD9">
      <w:pPr>
        <w:pStyle w:val="6Assinatura"/>
      </w:pPr>
      <w:r>
        <w:t>Subprocurador-Geral de Justiça</w:t>
      </w:r>
    </w:p>
    <w:p w14:paraId="7F4B06D0" w14:textId="66C7C5CF" w:rsidR="00646FD9" w:rsidRDefault="00646FD9" w:rsidP="00646FD9">
      <w:pPr>
        <w:pStyle w:val="6Assinatura"/>
      </w:pPr>
      <w:r>
        <w:t>Jurídico</w:t>
      </w:r>
    </w:p>
    <w:p w14:paraId="7C515A5C" w14:textId="77777777" w:rsidR="00646FD9" w:rsidRDefault="00646FD9" w:rsidP="00646FD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aaamj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mjap</w:t>
      </w:r>
      <w:proofErr w:type="spellEnd"/>
    </w:p>
    <w:sectPr w:rsidR="00646FD9" w:rsidSect="0080767F">
      <w:headerReference w:type="default" r:id="rId10"/>
      <w:footerReference w:type="default" r:id="rId11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BD6EF" w14:textId="77777777" w:rsidR="00723E6B" w:rsidRDefault="00723E6B" w:rsidP="009F7412">
      <w:pPr>
        <w:spacing w:after="0" w:line="240" w:lineRule="auto"/>
      </w:pPr>
      <w:r>
        <w:separator/>
      </w:r>
    </w:p>
  </w:endnote>
  <w:endnote w:type="continuationSeparator" w:id="0">
    <w:p w14:paraId="668D21F8" w14:textId="77777777" w:rsidR="00723E6B" w:rsidRDefault="00723E6B" w:rsidP="009F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17315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7C34BBF" w14:textId="77777777" w:rsidR="00782467" w:rsidRPr="00782467" w:rsidRDefault="00782467">
        <w:pPr>
          <w:pStyle w:val="Rodap"/>
          <w:jc w:val="right"/>
          <w:rPr>
            <w:sz w:val="20"/>
            <w:szCs w:val="20"/>
          </w:rPr>
        </w:pPr>
        <w:r w:rsidRPr="00782467">
          <w:rPr>
            <w:sz w:val="20"/>
            <w:szCs w:val="20"/>
          </w:rPr>
          <w:fldChar w:fldCharType="begin"/>
        </w:r>
        <w:r w:rsidRPr="00782467">
          <w:rPr>
            <w:sz w:val="20"/>
            <w:szCs w:val="20"/>
          </w:rPr>
          <w:instrText>PAGE   \* MERGEFORMAT</w:instrText>
        </w:r>
        <w:r w:rsidRPr="00782467">
          <w:rPr>
            <w:sz w:val="20"/>
            <w:szCs w:val="20"/>
          </w:rPr>
          <w:fldChar w:fldCharType="separate"/>
        </w:r>
        <w:r w:rsidRPr="00782467">
          <w:rPr>
            <w:sz w:val="20"/>
            <w:szCs w:val="20"/>
          </w:rPr>
          <w:t>2</w:t>
        </w:r>
        <w:r w:rsidRPr="00782467">
          <w:rPr>
            <w:sz w:val="20"/>
            <w:szCs w:val="20"/>
          </w:rPr>
          <w:fldChar w:fldCharType="end"/>
        </w:r>
      </w:p>
    </w:sdtContent>
  </w:sdt>
  <w:p w14:paraId="6A3DA557" w14:textId="77777777" w:rsidR="005D2C35" w:rsidRPr="005D2C35" w:rsidRDefault="005D2C35" w:rsidP="005D2C35">
    <w:pPr>
      <w:pStyle w:val="Rodap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2223A" w14:textId="77777777" w:rsidR="00723E6B" w:rsidRDefault="00723E6B" w:rsidP="009F7412">
      <w:pPr>
        <w:spacing w:after="0" w:line="240" w:lineRule="auto"/>
      </w:pPr>
      <w:r>
        <w:separator/>
      </w:r>
    </w:p>
  </w:footnote>
  <w:footnote w:type="continuationSeparator" w:id="0">
    <w:p w14:paraId="1C641508" w14:textId="77777777" w:rsidR="00723E6B" w:rsidRDefault="00723E6B" w:rsidP="009F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8"/>
      <w:gridCol w:w="284"/>
      <w:gridCol w:w="4394"/>
    </w:tblGrid>
    <w:tr w:rsidR="005D2C35" w14:paraId="07D14C2D" w14:textId="77777777" w:rsidTr="0032209D">
      <w:tc>
        <w:tcPr>
          <w:tcW w:w="4678" w:type="dxa"/>
          <w:tcBorders>
            <w:right w:val="single" w:sz="12" w:space="0" w:color="C00000"/>
          </w:tcBorders>
          <w:vAlign w:val="center"/>
        </w:tcPr>
        <w:p w14:paraId="154815DA" w14:textId="77777777" w:rsidR="009F7412" w:rsidRDefault="009F7412" w:rsidP="0027383C">
          <w:pPr>
            <w:pStyle w:val="Cabealho"/>
            <w:ind w:firstLine="0"/>
            <w:jc w:val="left"/>
          </w:pPr>
          <w:r>
            <w:rPr>
              <w:noProof/>
            </w:rPr>
            <w:drawing>
              <wp:inline distT="0" distB="0" distL="0" distR="0" wp14:anchorId="71FE31A2" wp14:editId="3FC30B10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left w:val="single" w:sz="12" w:space="0" w:color="C00000"/>
          </w:tcBorders>
        </w:tcPr>
        <w:p w14:paraId="097AFA94" w14:textId="77777777" w:rsidR="009F7412" w:rsidRPr="009F7412" w:rsidRDefault="009F7412" w:rsidP="009F7412">
          <w:pPr>
            <w:pStyle w:val="Cabealho"/>
            <w:rPr>
              <w:sz w:val="28"/>
              <w:szCs w:val="28"/>
            </w:rPr>
          </w:pPr>
        </w:p>
      </w:tc>
      <w:tc>
        <w:tcPr>
          <w:tcW w:w="4394" w:type="dxa"/>
        </w:tcPr>
        <w:p w14:paraId="4DEBC3F3" w14:textId="77777777" w:rsidR="0032209D" w:rsidRPr="00782467" w:rsidRDefault="0032209D" w:rsidP="0027383C">
          <w:pPr>
            <w:pStyle w:val="Cabealho"/>
            <w:spacing w:line="276" w:lineRule="auto"/>
            <w:ind w:left="280" w:hanging="3"/>
            <w:jc w:val="center"/>
            <w:rPr>
              <w:rFonts w:cs="Arial"/>
              <w:b/>
              <w:sz w:val="21"/>
              <w:szCs w:val="21"/>
            </w:rPr>
          </w:pPr>
          <w:r w:rsidRPr="00782467">
            <w:rPr>
              <w:rFonts w:cs="Arial"/>
              <w:b/>
              <w:sz w:val="21"/>
              <w:szCs w:val="21"/>
            </w:rPr>
            <w:t>PROCURADORIA</w:t>
          </w:r>
          <w:r w:rsidR="00F02204" w:rsidRPr="00782467">
            <w:rPr>
              <w:rFonts w:cs="Arial"/>
              <w:b/>
              <w:sz w:val="21"/>
              <w:szCs w:val="21"/>
            </w:rPr>
            <w:t>-</w:t>
          </w:r>
          <w:r w:rsidRPr="00782467">
            <w:rPr>
              <w:rFonts w:cs="Arial"/>
              <w:b/>
              <w:sz w:val="21"/>
              <w:szCs w:val="21"/>
            </w:rPr>
            <w:t>GERAL DE JUSTIÇA</w:t>
          </w:r>
        </w:p>
        <w:p w14:paraId="68C9265A" w14:textId="77777777" w:rsidR="009F7412" w:rsidRPr="0032209D" w:rsidRDefault="00D973E9" w:rsidP="0027383C">
          <w:pPr>
            <w:pStyle w:val="Cabealho"/>
            <w:spacing w:line="276" w:lineRule="auto"/>
            <w:ind w:left="280" w:firstLine="3"/>
            <w:jc w:val="center"/>
            <w:rPr>
              <w:rFonts w:cs="Arial"/>
              <w:sz w:val="16"/>
              <w:szCs w:val="16"/>
            </w:rPr>
          </w:pPr>
          <w:r w:rsidRPr="00782467">
            <w:rPr>
              <w:rFonts w:cs="Arial"/>
              <w:b/>
              <w:sz w:val="16"/>
              <w:szCs w:val="16"/>
            </w:rPr>
            <w:t>SUBPROCURADORIA</w:t>
          </w:r>
          <w:r w:rsidR="00F02204" w:rsidRPr="00782467">
            <w:rPr>
              <w:rFonts w:cs="Arial"/>
              <w:b/>
              <w:sz w:val="16"/>
              <w:szCs w:val="16"/>
            </w:rPr>
            <w:t>-</w:t>
          </w:r>
          <w:r w:rsidRPr="00782467">
            <w:rPr>
              <w:rFonts w:cs="Arial"/>
              <w:b/>
              <w:sz w:val="16"/>
              <w:szCs w:val="16"/>
            </w:rPr>
            <w:t>GERAL</w:t>
          </w:r>
          <w:r w:rsidR="003F34C8" w:rsidRPr="00782467">
            <w:rPr>
              <w:rFonts w:cs="Arial"/>
              <w:b/>
              <w:sz w:val="16"/>
              <w:szCs w:val="16"/>
            </w:rPr>
            <w:t xml:space="preserve"> </w:t>
          </w:r>
          <w:r w:rsidRPr="00782467">
            <w:rPr>
              <w:rFonts w:cs="Arial"/>
              <w:b/>
              <w:sz w:val="16"/>
              <w:szCs w:val="16"/>
            </w:rPr>
            <w:t>DE JUSTIÇA JURÍDICA</w:t>
          </w:r>
        </w:p>
      </w:tc>
    </w:tr>
  </w:tbl>
  <w:p w14:paraId="03640908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8C3E5A" wp14:editId="7740DED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7B8A8" id="Conector reto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2FBB319A" w14:textId="77777777" w:rsidR="005D2C35" w:rsidRDefault="005D2C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829FB"/>
    <w:multiLevelType w:val="hybridMultilevel"/>
    <w:tmpl w:val="BAC0115E"/>
    <w:lvl w:ilvl="0" w:tplc="29367548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105706"/>
    <w:rsid w:val="00146D88"/>
    <w:rsid w:val="001F3826"/>
    <w:rsid w:val="002174B9"/>
    <w:rsid w:val="0027383C"/>
    <w:rsid w:val="0032209D"/>
    <w:rsid w:val="00331B2A"/>
    <w:rsid w:val="003F34C8"/>
    <w:rsid w:val="00447693"/>
    <w:rsid w:val="0050657A"/>
    <w:rsid w:val="005D2C35"/>
    <w:rsid w:val="00623913"/>
    <w:rsid w:val="00646FD9"/>
    <w:rsid w:val="00723E6B"/>
    <w:rsid w:val="00782467"/>
    <w:rsid w:val="007F47C5"/>
    <w:rsid w:val="0080767F"/>
    <w:rsid w:val="008C70E8"/>
    <w:rsid w:val="00916973"/>
    <w:rsid w:val="009F7412"/>
    <w:rsid w:val="00AA17F4"/>
    <w:rsid w:val="00AC0E1C"/>
    <w:rsid w:val="00AE5461"/>
    <w:rsid w:val="00B424FC"/>
    <w:rsid w:val="00BA009D"/>
    <w:rsid w:val="00CC2065"/>
    <w:rsid w:val="00D424F6"/>
    <w:rsid w:val="00D973E9"/>
    <w:rsid w:val="00DA7575"/>
    <w:rsid w:val="00DD18C7"/>
    <w:rsid w:val="00EC69C4"/>
    <w:rsid w:val="00F0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0AC20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09D"/>
    <w:pPr>
      <w:spacing w:after="24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tuloouEndereamento">
    <w:name w:val="1.Título ou Endereçamento"/>
    <w:link w:val="1TtuloouEndereamentoChar"/>
    <w:qFormat/>
    <w:rsid w:val="00916973"/>
    <w:pPr>
      <w:spacing w:after="0" w:line="240" w:lineRule="auto"/>
      <w:jc w:val="center"/>
    </w:pPr>
    <w:rPr>
      <w:rFonts w:ascii="Tw Cen MT" w:eastAsia="Times New Roman" w:hAnsi="Tw Cen MT" w:cs="Times New Roman"/>
      <w:b/>
      <w:smallCaps/>
      <w:sz w:val="32"/>
      <w:szCs w:val="32"/>
      <w:lang w:eastAsia="pt-BR"/>
    </w:rPr>
  </w:style>
  <w:style w:type="character" w:customStyle="1" w:styleId="1TtuloouEndereamentoChar">
    <w:name w:val="1.Título ou Endereçamento Char"/>
    <w:link w:val="1TtuloouEndereamento"/>
    <w:rsid w:val="00916973"/>
    <w:rPr>
      <w:rFonts w:ascii="Tw Cen MT" w:eastAsia="Times New Roman" w:hAnsi="Tw Cen MT" w:cs="Times New Roman"/>
      <w:b/>
      <w:smallCaps/>
      <w:sz w:val="32"/>
      <w:szCs w:val="32"/>
      <w:lang w:eastAsia="pt-BR"/>
    </w:rPr>
  </w:style>
  <w:style w:type="paragraph" w:customStyle="1" w:styleId="2Identificao">
    <w:name w:val="2.Identificação"/>
    <w:basedOn w:val="Normal"/>
    <w:link w:val="2IdentificaoChar"/>
    <w:qFormat/>
    <w:rsid w:val="00916973"/>
    <w:pPr>
      <w:spacing w:after="0"/>
    </w:pPr>
    <w:rPr>
      <w:rFonts w:ascii="Tw Cen MT" w:hAnsi="Tw Cen MT"/>
      <w:bCs/>
      <w:kern w:val="28"/>
      <w:szCs w:val="28"/>
    </w:rPr>
  </w:style>
  <w:style w:type="character" w:customStyle="1" w:styleId="2IdentificaoChar">
    <w:name w:val="2.Identificação Char"/>
    <w:link w:val="2Identificao"/>
    <w:rsid w:val="00916973"/>
    <w:rPr>
      <w:rFonts w:ascii="Tw Cen MT" w:eastAsia="Times New Roman" w:hAnsi="Tw Cen MT" w:cs="Times New Roman"/>
      <w:bCs/>
      <w:kern w:val="28"/>
      <w:sz w:val="24"/>
      <w:szCs w:val="28"/>
      <w:lang w:eastAsia="pt-BR"/>
    </w:rPr>
  </w:style>
  <w:style w:type="paragraph" w:customStyle="1" w:styleId="3Ementa1">
    <w:name w:val="3.Ementa 1"/>
    <w:basedOn w:val="Normal"/>
    <w:link w:val="3Ementa1Char"/>
    <w:qFormat/>
    <w:rsid w:val="00916973"/>
    <w:pPr>
      <w:spacing w:after="120"/>
      <w:ind w:left="2835"/>
    </w:pPr>
    <w:rPr>
      <w:rFonts w:ascii="Tw Cen MT" w:hAnsi="Tw Cen MT"/>
      <w:b/>
      <w:smallCaps/>
      <w:kern w:val="28"/>
    </w:rPr>
  </w:style>
  <w:style w:type="character" w:customStyle="1" w:styleId="3Ementa1Char">
    <w:name w:val="3.Ementa 1 Char"/>
    <w:link w:val="3Ementa1"/>
    <w:rsid w:val="00916973"/>
    <w:rPr>
      <w:rFonts w:ascii="Tw Cen MT" w:eastAsia="Times New Roman" w:hAnsi="Tw Cen MT" w:cs="Times New Roman"/>
      <w:b/>
      <w:smallCaps/>
      <w:kern w:val="28"/>
      <w:sz w:val="24"/>
      <w:szCs w:val="24"/>
      <w:lang w:eastAsia="pt-BR"/>
    </w:rPr>
  </w:style>
  <w:style w:type="paragraph" w:customStyle="1" w:styleId="3Ementa2">
    <w:name w:val="3.Ementa 2"/>
    <w:basedOn w:val="Normal"/>
    <w:link w:val="3Ementa2Char"/>
    <w:qFormat/>
    <w:rsid w:val="00916973"/>
    <w:pPr>
      <w:spacing w:after="120"/>
      <w:ind w:left="2835"/>
    </w:pPr>
    <w:rPr>
      <w:rFonts w:ascii="Tw Cen MT" w:hAnsi="Tw Cen MT"/>
      <w:kern w:val="28"/>
    </w:rPr>
  </w:style>
  <w:style w:type="character" w:customStyle="1" w:styleId="3Ementa2Char">
    <w:name w:val="3.Ementa 2 Char"/>
    <w:link w:val="3Ementa2"/>
    <w:rsid w:val="00916973"/>
    <w:rPr>
      <w:rFonts w:ascii="Tw Cen MT" w:eastAsia="Times New Roman" w:hAnsi="Tw Cen MT" w:cs="Times New Roman"/>
      <w:kern w:val="28"/>
      <w:sz w:val="24"/>
      <w:szCs w:val="24"/>
      <w:lang w:eastAsia="pt-BR"/>
    </w:rPr>
  </w:style>
  <w:style w:type="paragraph" w:customStyle="1" w:styleId="4Corpo">
    <w:name w:val="4.Corpo"/>
    <w:basedOn w:val="Normal"/>
    <w:link w:val="4CorpoChar"/>
    <w:qFormat/>
    <w:rsid w:val="00916973"/>
    <w:pPr>
      <w:spacing w:after="120"/>
    </w:pPr>
    <w:rPr>
      <w:rFonts w:ascii="Tw Cen MT" w:hAnsi="Tw Cen MT"/>
      <w:bCs/>
      <w:kern w:val="28"/>
      <w:sz w:val="28"/>
      <w:szCs w:val="28"/>
    </w:rPr>
  </w:style>
  <w:style w:type="character" w:customStyle="1" w:styleId="4CorpoChar">
    <w:name w:val="4.Corpo Char"/>
    <w:link w:val="4Corpo"/>
    <w:rsid w:val="00916973"/>
    <w:rPr>
      <w:rFonts w:ascii="Tw Cen MT" w:eastAsia="Times New Roman" w:hAnsi="Tw Cen MT" w:cs="Times New Roman"/>
      <w:bCs/>
      <w:kern w:val="28"/>
      <w:sz w:val="28"/>
      <w:szCs w:val="28"/>
      <w:lang w:eastAsia="pt-BR"/>
    </w:rPr>
  </w:style>
  <w:style w:type="paragraph" w:customStyle="1" w:styleId="5Citao">
    <w:name w:val="5.Citação"/>
    <w:basedOn w:val="Normal"/>
    <w:link w:val="5CitaoChar"/>
    <w:qFormat/>
    <w:rsid w:val="00916973"/>
    <w:pPr>
      <w:spacing w:after="120"/>
      <w:ind w:left="2835"/>
    </w:pPr>
    <w:rPr>
      <w:rFonts w:ascii="Tw Cen MT" w:hAnsi="Tw Cen MT"/>
      <w:bCs/>
      <w:kern w:val="28"/>
      <w:sz w:val="26"/>
      <w:szCs w:val="26"/>
    </w:rPr>
  </w:style>
  <w:style w:type="character" w:customStyle="1" w:styleId="5CitaoChar">
    <w:name w:val="5.Citação Char"/>
    <w:link w:val="5Citao"/>
    <w:rsid w:val="00916973"/>
    <w:rPr>
      <w:rFonts w:ascii="Tw Cen MT" w:eastAsia="Times New Roman" w:hAnsi="Tw Cen MT" w:cs="Times New Roman"/>
      <w:bCs/>
      <w:kern w:val="28"/>
      <w:sz w:val="26"/>
      <w:szCs w:val="26"/>
      <w:lang w:eastAsia="pt-BR"/>
    </w:rPr>
  </w:style>
  <w:style w:type="paragraph" w:customStyle="1" w:styleId="6Assinatura">
    <w:name w:val="6.Assinatura"/>
    <w:qFormat/>
    <w:rsid w:val="00916973"/>
    <w:pPr>
      <w:spacing w:after="0" w:line="240" w:lineRule="auto"/>
      <w:jc w:val="center"/>
    </w:pPr>
    <w:rPr>
      <w:rFonts w:ascii="Tw Cen MT" w:eastAsia="Times New Roman" w:hAnsi="Tw Cen MT" w:cs="Arial"/>
      <w:b/>
      <w:sz w:val="28"/>
      <w:szCs w:val="24"/>
      <w:lang w:eastAsia="pt-BR"/>
    </w:rPr>
  </w:style>
  <w:style w:type="paragraph" w:customStyle="1" w:styleId="7IniciaisAssessor">
    <w:name w:val="7.Iniciais Assessor"/>
    <w:basedOn w:val="Normal"/>
    <w:link w:val="7IniciaisAssessorChar"/>
    <w:qFormat/>
    <w:rsid w:val="00916973"/>
    <w:pPr>
      <w:spacing w:after="0" w:line="240" w:lineRule="auto"/>
    </w:pPr>
    <w:rPr>
      <w:rFonts w:ascii="Tw Cen MT" w:hAnsi="Tw Cen MT" w:cs="Tahoma"/>
      <w:kern w:val="28"/>
      <w:sz w:val="18"/>
      <w:szCs w:val="18"/>
    </w:rPr>
  </w:style>
  <w:style w:type="character" w:customStyle="1" w:styleId="7IniciaisAssessorChar">
    <w:name w:val="7.Iniciais Assessor Char"/>
    <w:link w:val="7IniciaisAssessor"/>
    <w:rsid w:val="00916973"/>
    <w:rPr>
      <w:rFonts w:ascii="Tw Cen MT" w:eastAsia="Times New Roman" w:hAnsi="Tw Cen MT" w:cs="Tahoma"/>
      <w:kern w:val="28"/>
      <w:sz w:val="18"/>
      <w:szCs w:val="18"/>
      <w:lang w:eastAsia="pt-BR"/>
    </w:rPr>
  </w:style>
  <w:style w:type="paragraph" w:customStyle="1" w:styleId="8Notasderodap">
    <w:name w:val="8.Notas de rodapé"/>
    <w:basedOn w:val="7IniciaisAssessor"/>
    <w:link w:val="8NotasderodapChar"/>
    <w:qFormat/>
    <w:rsid w:val="00916973"/>
  </w:style>
  <w:style w:type="character" w:customStyle="1" w:styleId="8NotasderodapChar">
    <w:name w:val="8.Notas de rodapé Char"/>
    <w:link w:val="8Notasderodap"/>
    <w:rsid w:val="00916973"/>
    <w:rPr>
      <w:rFonts w:ascii="Tw Cen MT" w:eastAsia="Times New Roman" w:hAnsi="Tw Cen MT" w:cs="Tahoma"/>
      <w:kern w:val="28"/>
      <w:sz w:val="18"/>
      <w:szCs w:val="18"/>
      <w:lang w:eastAsia="pt-BR"/>
    </w:rPr>
  </w:style>
  <w:style w:type="paragraph" w:customStyle="1" w:styleId="9Rodap">
    <w:name w:val="9.Rodapé"/>
    <w:basedOn w:val="Rodap"/>
    <w:qFormat/>
    <w:rsid w:val="00916973"/>
    <w:pPr>
      <w:tabs>
        <w:tab w:val="clear" w:pos="4252"/>
        <w:tab w:val="clear" w:pos="8504"/>
      </w:tabs>
      <w:jc w:val="right"/>
    </w:pPr>
    <w:rPr>
      <w:rFonts w:ascii="Tw Cen MT" w:hAnsi="Tw Cen MT"/>
      <w:kern w:val="28"/>
      <w:sz w:val="28"/>
    </w:rPr>
  </w:style>
  <w:style w:type="paragraph" w:customStyle="1" w:styleId="Assinatura1">
    <w:name w:val="Assinatura1"/>
    <w:rsid w:val="00BA009D"/>
    <w:pPr>
      <w:spacing w:after="0" w:line="240" w:lineRule="auto"/>
      <w:jc w:val="center"/>
    </w:pPr>
    <w:rPr>
      <w:rFonts w:ascii="Tw Cen MT" w:eastAsia="Times New Roman" w:hAnsi="Tw Cen MT" w:cs="Arial"/>
      <w:b/>
      <w:sz w:val="28"/>
      <w:szCs w:val="24"/>
      <w:lang w:eastAsia="pt-BR"/>
    </w:rPr>
  </w:style>
  <w:style w:type="paragraph" w:customStyle="1" w:styleId="Identificaodapea">
    <w:name w:val="Identificação da peça"/>
    <w:rsid w:val="00BA009D"/>
    <w:pPr>
      <w:spacing w:after="120" w:line="240" w:lineRule="auto"/>
      <w:jc w:val="both"/>
    </w:pPr>
    <w:rPr>
      <w:rFonts w:ascii="Tw Cen MT" w:eastAsia="Times New Roman" w:hAnsi="Tw Cen MT" w:cs="Times New Roman"/>
      <w:sz w:val="24"/>
      <w:szCs w:val="24"/>
      <w:lang w:eastAsia="pt-BR"/>
    </w:rPr>
  </w:style>
  <w:style w:type="paragraph" w:customStyle="1" w:styleId="Tipodepea">
    <w:name w:val="Tipo de peça"/>
    <w:link w:val="TipodepeaChar"/>
    <w:rsid w:val="00BA009D"/>
    <w:pPr>
      <w:spacing w:after="0" w:line="240" w:lineRule="auto"/>
      <w:jc w:val="center"/>
    </w:pPr>
    <w:rPr>
      <w:rFonts w:ascii="Tw Cen MT" w:eastAsia="Times New Roman" w:hAnsi="Tw Cen MT" w:cs="Times New Roman"/>
      <w:b/>
      <w:smallCaps/>
      <w:sz w:val="32"/>
      <w:szCs w:val="32"/>
      <w:lang w:eastAsia="pt-BR"/>
    </w:rPr>
  </w:style>
  <w:style w:type="paragraph" w:customStyle="1" w:styleId="Iniciaisdoassessor">
    <w:name w:val="Iniciais do assessor"/>
    <w:rsid w:val="00BA009D"/>
    <w:pPr>
      <w:spacing w:after="0" w:line="240" w:lineRule="auto"/>
    </w:pPr>
    <w:rPr>
      <w:rFonts w:ascii="Tw Cen MT" w:eastAsia="Times New Roman" w:hAnsi="Tw Cen MT" w:cs="Times New Roman"/>
      <w:sz w:val="18"/>
      <w:szCs w:val="18"/>
      <w:lang w:eastAsia="pt-BR"/>
    </w:rPr>
  </w:style>
  <w:style w:type="paragraph" w:styleId="Textodenotaderodap">
    <w:name w:val="footnote text"/>
    <w:link w:val="TextodenotaderodapChar"/>
    <w:semiHidden/>
    <w:rsid w:val="00BA009D"/>
    <w:pPr>
      <w:spacing w:after="120" w:line="240" w:lineRule="auto"/>
      <w:jc w:val="both"/>
    </w:pPr>
    <w:rPr>
      <w:rFonts w:ascii="Tw Cen MT" w:eastAsia="Times New Roman" w:hAnsi="Tw Cen MT" w:cs="Times New Roman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A009D"/>
    <w:rPr>
      <w:rFonts w:ascii="Tw Cen MT" w:eastAsia="Times New Roman" w:hAnsi="Tw Cen MT" w:cs="Times New Roman"/>
      <w:lang w:eastAsia="pt-BR"/>
    </w:rPr>
  </w:style>
  <w:style w:type="paragraph" w:customStyle="1" w:styleId="Corpodapea">
    <w:name w:val="Corpo da peça"/>
    <w:link w:val="CorpodapeaChar"/>
    <w:rsid w:val="00BA009D"/>
    <w:pPr>
      <w:spacing w:after="240" w:line="360" w:lineRule="auto"/>
      <w:ind w:firstLine="709"/>
      <w:jc w:val="both"/>
    </w:pPr>
    <w:rPr>
      <w:rFonts w:ascii="Tw Cen MT" w:eastAsia="Times New Roman" w:hAnsi="Tw Cen MT" w:cs="Times New Roman"/>
      <w:sz w:val="28"/>
      <w:szCs w:val="24"/>
      <w:lang w:eastAsia="pt-BR"/>
    </w:rPr>
  </w:style>
  <w:style w:type="character" w:customStyle="1" w:styleId="TipodepeaChar">
    <w:name w:val="Tipo de peça Char"/>
    <w:link w:val="Tipodepea"/>
    <w:rsid w:val="00BA009D"/>
    <w:rPr>
      <w:rFonts w:ascii="Tw Cen MT" w:eastAsia="Times New Roman" w:hAnsi="Tw Cen MT" w:cs="Times New Roman"/>
      <w:b/>
      <w:smallCaps/>
      <w:sz w:val="32"/>
      <w:szCs w:val="32"/>
      <w:lang w:eastAsia="pt-BR"/>
    </w:rPr>
  </w:style>
  <w:style w:type="character" w:customStyle="1" w:styleId="CorpodapeaChar">
    <w:name w:val="Corpo da peça Char"/>
    <w:link w:val="Corpodapea"/>
    <w:locked/>
    <w:rsid w:val="00BA009D"/>
    <w:rPr>
      <w:rFonts w:ascii="Tw Cen MT" w:eastAsia="Times New Roman" w:hAnsi="Tw Cen MT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6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D88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uiPriority w:val="22"/>
    <w:qFormat/>
    <w:rsid w:val="00D424F6"/>
    <w:rPr>
      <w:b/>
      <w:bCs/>
    </w:rPr>
  </w:style>
  <w:style w:type="character" w:styleId="Hyperlink">
    <w:name w:val="Hyperlink"/>
    <w:uiPriority w:val="99"/>
    <w:semiHidden/>
    <w:unhideWhenUsed/>
    <w:rsid w:val="00D424F6"/>
    <w:rPr>
      <w:color w:val="0000FF"/>
      <w:u w:val="single"/>
    </w:rPr>
  </w:style>
  <w:style w:type="paragraph" w:customStyle="1" w:styleId="Ementa">
    <w:name w:val="Ementa"/>
    <w:rsid w:val="00646FD9"/>
    <w:pPr>
      <w:spacing w:after="240" w:line="360" w:lineRule="auto"/>
      <w:ind w:left="2835"/>
      <w:jc w:val="both"/>
    </w:pPr>
    <w:rPr>
      <w:rFonts w:ascii="Tw Cen MT" w:eastAsia="Times New Roman" w:hAnsi="Tw Cen M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03A60EF4EC4E48A77FD608DF17A88D" ma:contentTypeVersion="10" ma:contentTypeDescription="Crie um novo documento." ma:contentTypeScope="" ma:versionID="fc0947fd95c3ae8de34ec74f25670232">
  <xsd:schema xmlns:xsd="http://www.w3.org/2001/XMLSchema" xmlns:xs="http://www.w3.org/2001/XMLSchema" xmlns:p="http://schemas.microsoft.com/office/2006/metadata/properties" xmlns:ns2="e4f26b54-c263-404d-abd2-b619fe93ea3e" xmlns:ns3="d20ca4c6-e862-48a6-bb2d-0e736e38b4f5" targetNamespace="http://schemas.microsoft.com/office/2006/metadata/properties" ma:root="true" ma:fieldsID="f52d1ffb0da1a63f3c41c27136378ad5" ns2:_="" ns3:_="">
    <xsd:import namespace="e4f26b54-c263-404d-abd2-b619fe93ea3e"/>
    <xsd:import namespace="d20ca4c6-e862-48a6-bb2d-0e736e38b4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26b54-c263-404d-abd2-b619fe93ea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ca4c6-e862-48a6-bb2d-0e736e38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9217BE-CE6E-4427-AD34-416FF722D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26b54-c263-404d-abd2-b619fe93ea3e"/>
    <ds:schemaRef ds:uri="d20ca4c6-e862-48a6-bb2d-0e736e38b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2B3E13-C10A-4D6F-AA01-E2EF3B0054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85C6BD-EC0D-47E1-8E10-A95CF083A2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5502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Silmara Regina Santiago</cp:lastModifiedBy>
  <cp:revision>2</cp:revision>
  <cp:lastPrinted>2019-04-25T15:14:00Z</cp:lastPrinted>
  <dcterms:created xsi:type="dcterms:W3CDTF">2019-05-13T17:15:00Z</dcterms:created>
  <dcterms:modified xsi:type="dcterms:W3CDTF">2019-05-13T17:15:00Z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0x0101003E03A60EF4EC4E48A77FD608DF17A88D</vt:lpwstr>
  </property>
</Properties>
</file>