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F7E3" w14:textId="77777777" w:rsidR="00520639" w:rsidRDefault="00520639" w:rsidP="003C5275">
      <w:pPr>
        <w:pStyle w:val="1TtuloouEndereamento"/>
      </w:pPr>
      <w:bookmarkStart w:id="0" w:name="_GoBack"/>
      <w:bookmarkEnd w:id="0"/>
    </w:p>
    <w:p w14:paraId="5873FC9B" w14:textId="02F84C83" w:rsidR="001A7A68" w:rsidRPr="001A7A68" w:rsidRDefault="001A7A68" w:rsidP="003C5275">
      <w:pPr>
        <w:pStyle w:val="1TtuloouEndereamento"/>
      </w:pPr>
      <w:r w:rsidRPr="001A7A68">
        <w:t>Parecer</w:t>
      </w:r>
    </w:p>
    <w:p w14:paraId="74AEA3A1" w14:textId="1C817F15" w:rsidR="001A7A68" w:rsidRDefault="001A7A68" w:rsidP="001A7A68">
      <w:pPr>
        <w:spacing w:after="120" w:line="240" w:lineRule="auto"/>
        <w:ind w:firstLine="0"/>
        <w:jc w:val="center"/>
        <w:rPr>
          <w:rFonts w:ascii="Tw Cen MT" w:hAnsi="Tw Cen MT"/>
          <w:b/>
          <w:smallCaps/>
          <w:sz w:val="32"/>
          <w:szCs w:val="32"/>
        </w:rPr>
      </w:pPr>
    </w:p>
    <w:p w14:paraId="2EF51B44" w14:textId="77777777" w:rsidR="00520639" w:rsidRPr="001A7A68" w:rsidRDefault="00520639" w:rsidP="001A7A68">
      <w:pPr>
        <w:spacing w:after="120" w:line="240" w:lineRule="auto"/>
        <w:ind w:firstLine="0"/>
        <w:jc w:val="center"/>
        <w:rPr>
          <w:rFonts w:ascii="Tw Cen MT" w:hAnsi="Tw Cen MT"/>
          <w:b/>
          <w:smallCaps/>
          <w:sz w:val="32"/>
          <w:szCs w:val="32"/>
        </w:rPr>
      </w:pPr>
    </w:p>
    <w:p w14:paraId="6AC84D6C" w14:textId="09802050" w:rsidR="001A7A68" w:rsidRPr="001A7A68" w:rsidRDefault="001A7A68" w:rsidP="003C5275">
      <w:pPr>
        <w:pStyle w:val="2Identificao"/>
      </w:pPr>
      <w:r w:rsidRPr="001A7A68">
        <w:t xml:space="preserve">Processo nº </w:t>
      </w:r>
      <w:r w:rsidR="003C5275">
        <w:t>2048189-14.2019.8.26.0000</w:t>
      </w:r>
    </w:p>
    <w:p w14:paraId="214F24D8" w14:textId="713AED16" w:rsidR="001A7A68" w:rsidRPr="001A7A68" w:rsidRDefault="001A7A68" w:rsidP="003C5275">
      <w:pPr>
        <w:pStyle w:val="2Identificao"/>
      </w:pPr>
      <w:r w:rsidRPr="001A7A68">
        <w:t xml:space="preserve">Requerente: Prefeito Municipal de </w:t>
      </w:r>
      <w:r w:rsidR="003C5275">
        <w:t>Alvinlândia</w:t>
      </w:r>
    </w:p>
    <w:p w14:paraId="744528A4" w14:textId="6861975A" w:rsidR="001A7A68" w:rsidRPr="001A7A68" w:rsidRDefault="001A7A68" w:rsidP="003C5275">
      <w:pPr>
        <w:pStyle w:val="2Identificao"/>
      </w:pPr>
      <w:r w:rsidRPr="001A7A68">
        <w:t xml:space="preserve">Requerido: Câmara Municipal de </w:t>
      </w:r>
      <w:r w:rsidR="00520639">
        <w:t>Alvinlândia</w:t>
      </w:r>
    </w:p>
    <w:p w14:paraId="1C3501EF" w14:textId="77777777" w:rsidR="001A7A68" w:rsidRPr="001A7A68" w:rsidRDefault="001A7A68" w:rsidP="001A7A68">
      <w:pPr>
        <w:spacing w:after="120" w:line="240" w:lineRule="auto"/>
        <w:ind w:firstLine="0"/>
        <w:rPr>
          <w:rFonts w:ascii="Tw Cen MT" w:hAnsi="Tw Cen MT"/>
          <w:b/>
        </w:rPr>
      </w:pPr>
    </w:p>
    <w:p w14:paraId="3897E619" w14:textId="0C23D7B6" w:rsidR="001A7A68" w:rsidRDefault="001A7A68" w:rsidP="001A7A68">
      <w:pPr>
        <w:spacing w:after="120" w:line="240" w:lineRule="auto"/>
        <w:ind w:firstLine="0"/>
        <w:rPr>
          <w:rFonts w:ascii="Tw Cen MT" w:hAnsi="Tw Cen MT"/>
          <w:b/>
        </w:rPr>
      </w:pPr>
    </w:p>
    <w:p w14:paraId="1177C456" w14:textId="77777777" w:rsidR="001A7A68" w:rsidRPr="001A7A68" w:rsidRDefault="001A7A68" w:rsidP="001A7A68">
      <w:pPr>
        <w:spacing w:after="120" w:line="240" w:lineRule="auto"/>
        <w:ind w:firstLine="0"/>
        <w:rPr>
          <w:rFonts w:ascii="Tw Cen MT" w:hAnsi="Tw Cen MT"/>
          <w:b/>
        </w:rPr>
      </w:pPr>
    </w:p>
    <w:p w14:paraId="0F25E0A3" w14:textId="2C9A6ECD" w:rsidR="009C3417" w:rsidRPr="009C3417" w:rsidRDefault="005F2690" w:rsidP="00B1667A">
      <w:pPr>
        <w:pStyle w:val="3Ementa2"/>
        <w:rPr>
          <w:rStyle w:val="3Ementa1Char"/>
          <w:smallCaps w:val="0"/>
          <w:kern w:val="0"/>
        </w:rPr>
      </w:pPr>
      <w:r w:rsidRPr="005F2690">
        <w:rPr>
          <w:rStyle w:val="3Ementa1Char"/>
        </w:rPr>
        <w:t xml:space="preserve">Constitucional. Administrativo. </w:t>
      </w:r>
      <w:r w:rsidR="001A7A68" w:rsidRPr="005F2690">
        <w:rPr>
          <w:rStyle w:val="3Ementa1Char"/>
        </w:rPr>
        <w:t xml:space="preserve">Ação direta de inconstitucionalidade. </w:t>
      </w:r>
      <w:r w:rsidR="000679BA" w:rsidRPr="005F2690">
        <w:rPr>
          <w:rStyle w:val="3Ementa1Char"/>
        </w:rPr>
        <w:t>Anexo V da</w:t>
      </w:r>
      <w:r w:rsidR="000679BA" w:rsidRPr="000679BA">
        <w:t xml:space="preserve"> </w:t>
      </w:r>
      <w:r w:rsidR="000679BA" w:rsidRPr="005F2690">
        <w:rPr>
          <w:rStyle w:val="3Ementa1Char"/>
        </w:rPr>
        <w:t>Lei Complementar nº 66/2011, na redação dada pela Lei Complementar n° 89/2017, ambas do Município de Alvinlândi</w:t>
      </w:r>
      <w:r w:rsidR="00034033">
        <w:rPr>
          <w:rStyle w:val="3Ementa1Char"/>
        </w:rPr>
        <w:t xml:space="preserve">a. Previsão de requisitos para o preenchimento de cargo de provimento em comissão de secretário da </w:t>
      </w:r>
      <w:r w:rsidR="009C3417">
        <w:rPr>
          <w:rStyle w:val="3Ementa1Char"/>
        </w:rPr>
        <w:t>educação. requisitos adequados e compatível com o exercício do cargo. possibilidade de restrição ao caráter da liberdade de nomeação para os cargos em provimento em comissão.</w:t>
      </w:r>
    </w:p>
    <w:p w14:paraId="204F112E" w14:textId="39989589" w:rsidR="001A7A68" w:rsidRPr="001A7A68" w:rsidRDefault="00034033" w:rsidP="001A7A68">
      <w:pPr>
        <w:numPr>
          <w:ilvl w:val="0"/>
          <w:numId w:val="1"/>
        </w:numPr>
        <w:spacing w:after="120"/>
        <w:rPr>
          <w:rFonts w:ascii="Tw Cen MT" w:hAnsi="Tw Cen MT"/>
          <w:b/>
        </w:rPr>
      </w:pPr>
      <w:r>
        <w:rPr>
          <w:rFonts w:ascii="Tw Cen MT" w:hAnsi="Tw Cen MT"/>
        </w:rPr>
        <w:t>Previsão</w:t>
      </w:r>
      <w:r w:rsidR="001A7A68" w:rsidRPr="001A7A68">
        <w:rPr>
          <w:rFonts w:ascii="Tw Cen MT" w:hAnsi="Tw Cen MT"/>
        </w:rPr>
        <w:t xml:space="preserve">, </w:t>
      </w:r>
      <w:r w:rsidR="004428A8">
        <w:rPr>
          <w:rFonts w:ascii="Tw Cen MT" w:hAnsi="Tw Cen MT"/>
        </w:rPr>
        <w:t>no Anexo V, da Lei impugnada</w:t>
      </w:r>
      <w:r w:rsidR="00B1667A">
        <w:rPr>
          <w:rFonts w:ascii="Tw Cen MT" w:hAnsi="Tw Cen MT"/>
        </w:rPr>
        <w:t>, de requisito de cinco anos de exercício no magistério para o cargo de Secretário Municipal da Educação</w:t>
      </w:r>
      <w:r w:rsidR="001A7A68" w:rsidRPr="001A7A68">
        <w:rPr>
          <w:rFonts w:ascii="Tw Cen MT" w:hAnsi="Tw Cen MT"/>
        </w:rPr>
        <w:t>.</w:t>
      </w:r>
    </w:p>
    <w:p w14:paraId="633E4596" w14:textId="77777777" w:rsidR="008A333A" w:rsidRPr="008A333A" w:rsidRDefault="008A333A" w:rsidP="008A333A">
      <w:pPr>
        <w:pStyle w:val="PargrafodaLista"/>
        <w:numPr>
          <w:ilvl w:val="0"/>
          <w:numId w:val="1"/>
        </w:numPr>
        <w:rPr>
          <w:rFonts w:ascii="Tw Cen MT" w:hAnsi="Tw Cen MT"/>
        </w:rPr>
      </w:pPr>
      <w:r w:rsidRPr="008A333A">
        <w:rPr>
          <w:rFonts w:ascii="Tw Cen MT" w:hAnsi="Tw Cen MT"/>
        </w:rPr>
        <w:t>Parâmetro exclusivo do controle de constitucionalidade pela via abstrata, concentrada e direta de lei ou ato normativo municipal é a Constituição Estadual (art. 125, § 2º, CF), razão pela qual se afigura inidôneo o seu contraste com Súmula Vinculante do Supremo Tribunal Federal.</w:t>
      </w:r>
    </w:p>
    <w:p w14:paraId="64616A47" w14:textId="77777777" w:rsidR="00EA0A87" w:rsidRPr="00EA0A87" w:rsidRDefault="001A7A68" w:rsidP="001A7A68">
      <w:pPr>
        <w:numPr>
          <w:ilvl w:val="0"/>
          <w:numId w:val="1"/>
        </w:numPr>
        <w:spacing w:after="120"/>
        <w:rPr>
          <w:rFonts w:ascii="Tw Cen MT" w:hAnsi="Tw Cen MT"/>
        </w:rPr>
      </w:pPr>
      <w:r w:rsidRPr="001A7A68">
        <w:rPr>
          <w:rFonts w:ascii="Tw Cen MT" w:hAnsi="Tw Cen MT"/>
        </w:rPr>
        <w:t xml:space="preserve">O Chefe do Poder Executivo tem iniciativa legislativa reservada para a criação e extinção de cargos públicos (art. 24, § 2º, 1 e 4, CE; art. 61, § 1º, II, </w:t>
      </w:r>
      <w:r w:rsidRPr="001A7A68">
        <w:rPr>
          <w:rFonts w:ascii="Tw Cen MT" w:hAnsi="Tw Cen MT"/>
          <w:i/>
        </w:rPr>
        <w:t xml:space="preserve">a </w:t>
      </w:r>
      <w:r w:rsidRPr="001A7A68">
        <w:rPr>
          <w:rFonts w:ascii="Tw Cen MT" w:hAnsi="Tw Cen MT"/>
        </w:rPr>
        <w:t xml:space="preserve">e </w:t>
      </w:r>
      <w:r w:rsidRPr="001A7A68">
        <w:rPr>
          <w:rFonts w:ascii="Tw Cen MT" w:hAnsi="Tw Cen MT"/>
          <w:i/>
        </w:rPr>
        <w:t>c</w:t>
      </w:r>
      <w:r w:rsidRPr="001A7A68">
        <w:rPr>
          <w:rFonts w:ascii="Tw Cen MT" w:hAnsi="Tw Cen MT"/>
        </w:rPr>
        <w:t xml:space="preserve">, CF). </w:t>
      </w:r>
      <w:r w:rsidRPr="001A7A68">
        <w:rPr>
          <w:rFonts w:ascii="Tw Cen MT" w:hAnsi="Tw Cen MT"/>
          <w:color w:val="000000"/>
        </w:rPr>
        <w:t xml:space="preserve">Não se situa no domínio da reserva privativa do Poder Executivo o estabelecimento de condições para o provimento de cargos públicos. </w:t>
      </w:r>
      <w:r w:rsidRPr="001A7A68">
        <w:rPr>
          <w:rFonts w:ascii="Tw Cen MT" w:hAnsi="Tw Cen MT"/>
          <w:b/>
          <w:bCs/>
          <w:szCs w:val="28"/>
        </w:rPr>
        <w:t xml:space="preserve"> </w:t>
      </w:r>
    </w:p>
    <w:p w14:paraId="1452CF4E" w14:textId="19762475" w:rsidR="001A7A68" w:rsidRPr="001A7A68" w:rsidRDefault="001A7A68" w:rsidP="001A7A68">
      <w:pPr>
        <w:numPr>
          <w:ilvl w:val="0"/>
          <w:numId w:val="1"/>
        </w:numPr>
        <w:spacing w:after="120"/>
        <w:rPr>
          <w:rFonts w:ascii="Tw Cen MT" w:hAnsi="Tw Cen MT"/>
        </w:rPr>
      </w:pPr>
      <w:r w:rsidRPr="001A7A68">
        <w:rPr>
          <w:rFonts w:ascii="Tw Cen MT" w:hAnsi="Tw Cen MT"/>
          <w:bCs/>
          <w:szCs w:val="28"/>
        </w:rPr>
        <w:lastRenderedPageBreak/>
        <w:t>O estabelecimento de restrições gerais ao acesso aos cargos, funções e empregos públicos não se trata de privativa atividade legislativa, mas sim de função de Estado.</w:t>
      </w:r>
    </w:p>
    <w:p w14:paraId="1C57A6CE" w14:textId="77777777" w:rsidR="001A7A68" w:rsidRPr="001A7A68" w:rsidRDefault="001A7A68" w:rsidP="001A7A68">
      <w:pPr>
        <w:numPr>
          <w:ilvl w:val="0"/>
          <w:numId w:val="1"/>
        </w:numPr>
        <w:rPr>
          <w:rFonts w:ascii="Tw Cen MT" w:hAnsi="Tw Cen MT"/>
        </w:rPr>
      </w:pPr>
      <w:r w:rsidRPr="001A7A68">
        <w:rPr>
          <w:rFonts w:ascii="Tw Cen MT" w:hAnsi="Tw Cen MT"/>
        </w:rPr>
        <w:t>Parecer pela improcedência do pedido.</w:t>
      </w:r>
    </w:p>
    <w:p w14:paraId="14CE88A4" w14:textId="77777777" w:rsidR="00405B53" w:rsidRDefault="00405B53" w:rsidP="002C46DC">
      <w:pPr>
        <w:ind w:firstLine="0"/>
        <w:rPr>
          <w:rFonts w:ascii="Tw Cen MT" w:hAnsi="Tw Cen MT"/>
          <w:b/>
          <w:sz w:val="28"/>
        </w:rPr>
      </w:pPr>
    </w:p>
    <w:p w14:paraId="420F2DB3" w14:textId="4001816A" w:rsidR="001A7A68" w:rsidRPr="001A7A68" w:rsidRDefault="001A7A68" w:rsidP="00470FDC">
      <w:pPr>
        <w:jc w:val="center"/>
        <w:rPr>
          <w:rFonts w:ascii="Tw Cen MT" w:hAnsi="Tw Cen MT"/>
          <w:b/>
          <w:sz w:val="28"/>
        </w:rPr>
      </w:pPr>
      <w:r w:rsidRPr="001A7A68">
        <w:rPr>
          <w:rFonts w:ascii="Tw Cen MT" w:hAnsi="Tw Cen MT"/>
          <w:b/>
          <w:sz w:val="28"/>
        </w:rPr>
        <w:t>Colendo Órgão Especial</w:t>
      </w:r>
    </w:p>
    <w:p w14:paraId="5B590ACF" w14:textId="77777777" w:rsidR="001A7A68" w:rsidRPr="001A7A68" w:rsidRDefault="001A7A68" w:rsidP="00470FDC">
      <w:pPr>
        <w:jc w:val="center"/>
        <w:rPr>
          <w:rFonts w:ascii="Tw Cen MT" w:hAnsi="Tw Cen MT"/>
          <w:b/>
          <w:sz w:val="28"/>
        </w:rPr>
      </w:pPr>
      <w:r w:rsidRPr="001A7A68">
        <w:rPr>
          <w:rFonts w:ascii="Tw Cen MT" w:hAnsi="Tw Cen MT"/>
          <w:b/>
          <w:sz w:val="28"/>
        </w:rPr>
        <w:t>Senhor Desembargador Relator</w:t>
      </w:r>
    </w:p>
    <w:p w14:paraId="02009ECA" w14:textId="77777777" w:rsidR="001A7A68" w:rsidRPr="001A7A68" w:rsidRDefault="001A7A68" w:rsidP="001A7A68">
      <w:pPr>
        <w:rPr>
          <w:rFonts w:ascii="Tw Cen MT" w:hAnsi="Tw Cen MT"/>
          <w:b/>
          <w:sz w:val="28"/>
        </w:rPr>
      </w:pPr>
    </w:p>
    <w:p w14:paraId="6CD85AF6" w14:textId="39DEEABA" w:rsidR="001A7A68" w:rsidRPr="001A7A68" w:rsidRDefault="001A7A68" w:rsidP="001A7A68">
      <w:pPr>
        <w:rPr>
          <w:rFonts w:ascii="Tw Cen MT" w:hAnsi="Tw Cen MT"/>
          <w:sz w:val="28"/>
        </w:rPr>
      </w:pPr>
      <w:r w:rsidRPr="001A7A68">
        <w:rPr>
          <w:rFonts w:ascii="Tw Cen MT" w:hAnsi="Tw Cen MT"/>
          <w:sz w:val="28"/>
        </w:rPr>
        <w:t>Tratam estes autos de ação direta de inconstitucionalidade</w:t>
      </w:r>
      <w:r w:rsidR="00683035">
        <w:rPr>
          <w:rFonts w:ascii="Tw Cen MT" w:hAnsi="Tw Cen MT"/>
          <w:sz w:val="28"/>
        </w:rPr>
        <w:t>, com pedido de medida liminar,</w:t>
      </w:r>
      <w:r w:rsidRPr="001A7A68">
        <w:rPr>
          <w:rFonts w:ascii="Tw Cen MT" w:hAnsi="Tw Cen MT"/>
          <w:sz w:val="28"/>
        </w:rPr>
        <w:t xml:space="preserve"> proposta pelo </w:t>
      </w:r>
      <w:r w:rsidRPr="001A7A68">
        <w:rPr>
          <w:rFonts w:ascii="Tw Cen MT" w:hAnsi="Tw Cen MT"/>
          <w:b/>
          <w:sz w:val="28"/>
        </w:rPr>
        <w:t xml:space="preserve">Prefeito Municipal de Ribeirão </w:t>
      </w:r>
      <w:r w:rsidR="00470FDC">
        <w:rPr>
          <w:rFonts w:ascii="Tw Cen MT" w:hAnsi="Tw Cen MT"/>
          <w:b/>
          <w:sz w:val="28"/>
        </w:rPr>
        <w:t>Alvinlândia</w:t>
      </w:r>
      <w:r w:rsidRPr="001A7A68">
        <w:rPr>
          <w:rFonts w:ascii="Tw Cen MT" w:hAnsi="Tw Cen MT"/>
          <w:sz w:val="28"/>
        </w:rPr>
        <w:t xml:space="preserve">, tendo como alvo </w:t>
      </w:r>
      <w:r w:rsidR="007A7CD2">
        <w:rPr>
          <w:rFonts w:ascii="Tw Cen MT" w:hAnsi="Tw Cen MT"/>
          <w:sz w:val="28"/>
        </w:rPr>
        <w:t>o Anexo V d</w:t>
      </w:r>
      <w:r w:rsidRPr="001A7A68">
        <w:rPr>
          <w:rFonts w:ascii="Tw Cen MT" w:hAnsi="Tw Cen MT"/>
          <w:sz w:val="28"/>
        </w:rPr>
        <w:t xml:space="preserve">a </w:t>
      </w:r>
      <w:r w:rsidR="00470FDC">
        <w:rPr>
          <w:rFonts w:ascii="Tw Cen MT" w:hAnsi="Tw Cen MT"/>
          <w:sz w:val="28"/>
        </w:rPr>
        <w:t>Lei Complementar</w:t>
      </w:r>
      <w:r w:rsidRPr="001A7A68">
        <w:rPr>
          <w:rFonts w:ascii="Tw Cen MT" w:hAnsi="Tw Cen MT"/>
          <w:sz w:val="28"/>
        </w:rPr>
        <w:t xml:space="preserve"> nº </w:t>
      </w:r>
      <w:r w:rsidR="007A7CD2">
        <w:rPr>
          <w:rFonts w:ascii="Tw Cen MT" w:hAnsi="Tw Cen MT"/>
          <w:sz w:val="28"/>
        </w:rPr>
        <w:t>66/2011, na redação dada pela Lei Complementar n° 89/2017</w:t>
      </w:r>
      <w:r w:rsidR="00AA6E93">
        <w:rPr>
          <w:rFonts w:ascii="Tw Cen MT" w:hAnsi="Tw Cen MT"/>
          <w:sz w:val="28"/>
        </w:rPr>
        <w:t xml:space="preserve">, </w:t>
      </w:r>
      <w:r w:rsidR="00810FB5">
        <w:rPr>
          <w:rFonts w:ascii="Tw Cen MT" w:hAnsi="Tw Cen MT"/>
          <w:sz w:val="28"/>
        </w:rPr>
        <w:t xml:space="preserve">ambas </w:t>
      </w:r>
      <w:r w:rsidR="00AA6E93">
        <w:rPr>
          <w:rFonts w:ascii="Tw Cen MT" w:hAnsi="Tw Cen MT"/>
          <w:sz w:val="28"/>
        </w:rPr>
        <w:t>do Município de Alvinlândia</w:t>
      </w:r>
      <w:r w:rsidR="00683035">
        <w:rPr>
          <w:rFonts w:ascii="Tw Cen MT" w:hAnsi="Tw Cen MT"/>
          <w:sz w:val="28"/>
        </w:rPr>
        <w:t>,</w:t>
      </w:r>
      <w:r w:rsidR="00034242">
        <w:rPr>
          <w:rFonts w:ascii="Tw Cen MT" w:hAnsi="Tw Cen MT"/>
          <w:sz w:val="28"/>
        </w:rPr>
        <w:t xml:space="preserve"> </w:t>
      </w:r>
      <w:r w:rsidR="00683035">
        <w:rPr>
          <w:rFonts w:ascii="Tw Cen MT" w:hAnsi="Tw Cen MT"/>
          <w:sz w:val="28"/>
        </w:rPr>
        <w:t xml:space="preserve">por </w:t>
      </w:r>
      <w:r w:rsidR="006C211A" w:rsidRPr="006C211A">
        <w:rPr>
          <w:rFonts w:ascii="Tw Cen MT" w:hAnsi="Tw Cen MT"/>
          <w:sz w:val="28"/>
        </w:rPr>
        <w:t xml:space="preserve">violação aos </w:t>
      </w:r>
      <w:proofErr w:type="spellStart"/>
      <w:r w:rsidR="006C211A" w:rsidRPr="006C211A">
        <w:rPr>
          <w:rFonts w:ascii="Tw Cen MT" w:hAnsi="Tw Cen MT"/>
          <w:sz w:val="28"/>
        </w:rPr>
        <w:t>arts</w:t>
      </w:r>
      <w:proofErr w:type="spellEnd"/>
      <w:r w:rsidR="00683035">
        <w:rPr>
          <w:rFonts w:ascii="Tw Cen MT" w:hAnsi="Tw Cen MT"/>
          <w:sz w:val="28"/>
        </w:rPr>
        <w:t>.</w:t>
      </w:r>
      <w:r w:rsidR="006C211A" w:rsidRPr="006C211A">
        <w:rPr>
          <w:rFonts w:ascii="Tw Cen MT" w:hAnsi="Tw Cen MT"/>
          <w:sz w:val="28"/>
        </w:rPr>
        <w:t xml:space="preserve"> </w:t>
      </w:r>
      <w:r w:rsidR="00E81210">
        <w:rPr>
          <w:rFonts w:ascii="Tw Cen MT" w:hAnsi="Tw Cen MT"/>
          <w:sz w:val="28"/>
        </w:rPr>
        <w:t xml:space="preserve">5°, 47, II, </w:t>
      </w:r>
      <w:r w:rsidR="00870895">
        <w:rPr>
          <w:rFonts w:ascii="Tw Cen MT" w:hAnsi="Tw Cen MT"/>
          <w:sz w:val="28"/>
        </w:rPr>
        <w:t xml:space="preserve">VI e XIV, </w:t>
      </w:r>
      <w:r w:rsidR="006C211A" w:rsidRPr="006C211A">
        <w:rPr>
          <w:rFonts w:ascii="Tw Cen MT" w:hAnsi="Tw Cen MT"/>
          <w:sz w:val="28"/>
        </w:rPr>
        <w:t>115, inciso II, e 144, da Constituição do Estado de São Paulo</w:t>
      </w:r>
      <w:r w:rsidR="00035062">
        <w:rPr>
          <w:rFonts w:ascii="Tw Cen MT" w:hAnsi="Tw Cen MT"/>
          <w:sz w:val="28"/>
        </w:rPr>
        <w:t xml:space="preserve"> (fls.04/14).</w:t>
      </w:r>
    </w:p>
    <w:p w14:paraId="43267652" w14:textId="23BE4C61" w:rsidR="001A7A68" w:rsidRPr="001A7A68" w:rsidRDefault="001A7A68" w:rsidP="001A7A68">
      <w:pPr>
        <w:rPr>
          <w:rFonts w:ascii="Tw Cen MT" w:hAnsi="Tw Cen MT"/>
          <w:sz w:val="28"/>
        </w:rPr>
      </w:pPr>
      <w:r w:rsidRPr="001A7A68">
        <w:rPr>
          <w:rFonts w:ascii="Tw Cen MT" w:hAnsi="Tw Cen MT"/>
          <w:sz w:val="28"/>
        </w:rPr>
        <w:t>Sustenta</w:t>
      </w:r>
      <w:r w:rsidR="006C211A">
        <w:rPr>
          <w:rFonts w:ascii="Tw Cen MT" w:hAnsi="Tw Cen MT"/>
          <w:sz w:val="28"/>
        </w:rPr>
        <w:t>, em apertada</w:t>
      </w:r>
      <w:r w:rsidR="00035062">
        <w:rPr>
          <w:rFonts w:ascii="Tw Cen MT" w:hAnsi="Tw Cen MT"/>
          <w:sz w:val="28"/>
        </w:rPr>
        <w:t xml:space="preserve"> síntese,</w:t>
      </w:r>
      <w:r w:rsidRPr="001A7A68">
        <w:rPr>
          <w:rFonts w:ascii="Tw Cen MT" w:hAnsi="Tw Cen MT"/>
          <w:sz w:val="28"/>
        </w:rPr>
        <w:t xml:space="preserve"> que o ato normativo </w:t>
      </w:r>
      <w:r w:rsidR="00C954B0">
        <w:rPr>
          <w:rFonts w:ascii="Tw Cen MT" w:hAnsi="Tw Cen MT"/>
          <w:sz w:val="28"/>
        </w:rPr>
        <w:t>impõe</w:t>
      </w:r>
      <w:r w:rsidR="000837CC">
        <w:rPr>
          <w:rFonts w:ascii="Tw Cen MT" w:hAnsi="Tw Cen MT"/>
          <w:sz w:val="28"/>
        </w:rPr>
        <w:t xml:space="preserve"> </w:t>
      </w:r>
      <w:r w:rsidR="00BA7D2F">
        <w:rPr>
          <w:rFonts w:ascii="Tw Cen MT" w:hAnsi="Tw Cen MT"/>
          <w:sz w:val="28"/>
        </w:rPr>
        <w:t>indevid</w:t>
      </w:r>
      <w:r w:rsidR="006C211A">
        <w:rPr>
          <w:rFonts w:ascii="Tw Cen MT" w:hAnsi="Tw Cen MT"/>
          <w:sz w:val="28"/>
        </w:rPr>
        <w:t xml:space="preserve">o requisito para a nomeação do Secretário Municipal da Educação, qual seja, ter no mínimo de 5 </w:t>
      </w:r>
      <w:r w:rsidR="00035062">
        <w:rPr>
          <w:rFonts w:ascii="Tw Cen MT" w:hAnsi="Tw Cen MT"/>
          <w:sz w:val="28"/>
        </w:rPr>
        <w:t>(</w:t>
      </w:r>
      <w:r w:rsidR="006C211A">
        <w:rPr>
          <w:rFonts w:ascii="Tw Cen MT" w:hAnsi="Tw Cen MT"/>
          <w:sz w:val="28"/>
        </w:rPr>
        <w:t>cinco) anos de efetivo exercício no magistério</w:t>
      </w:r>
      <w:r w:rsidR="004527A6">
        <w:rPr>
          <w:rFonts w:ascii="Tw Cen MT" w:hAnsi="Tw Cen MT"/>
          <w:sz w:val="28"/>
        </w:rPr>
        <w:t xml:space="preserve">, </w:t>
      </w:r>
      <w:r w:rsidR="00C954B0">
        <w:rPr>
          <w:rFonts w:ascii="Tw Cen MT" w:hAnsi="Tw Cen MT"/>
          <w:sz w:val="28"/>
        </w:rPr>
        <w:t xml:space="preserve">o </w:t>
      </w:r>
      <w:r w:rsidR="004527A6">
        <w:rPr>
          <w:rFonts w:ascii="Tw Cen MT" w:hAnsi="Tw Cen MT"/>
          <w:sz w:val="28"/>
        </w:rPr>
        <w:t>qu</w:t>
      </w:r>
      <w:r w:rsidR="00243C57">
        <w:rPr>
          <w:rFonts w:ascii="Tw Cen MT" w:hAnsi="Tw Cen MT"/>
          <w:sz w:val="28"/>
        </w:rPr>
        <w:t>e</w:t>
      </w:r>
      <w:r w:rsidR="004527A6">
        <w:rPr>
          <w:rFonts w:ascii="Tw Cen MT" w:hAnsi="Tw Cen MT"/>
          <w:sz w:val="28"/>
        </w:rPr>
        <w:t xml:space="preserve"> restring</w:t>
      </w:r>
      <w:r w:rsidR="00C954B0">
        <w:rPr>
          <w:rFonts w:ascii="Tw Cen MT" w:hAnsi="Tw Cen MT"/>
          <w:sz w:val="28"/>
        </w:rPr>
        <w:t>e</w:t>
      </w:r>
      <w:r w:rsidR="004527A6">
        <w:rPr>
          <w:rFonts w:ascii="Tw Cen MT" w:hAnsi="Tw Cen MT"/>
          <w:sz w:val="28"/>
        </w:rPr>
        <w:t xml:space="preserve"> </w:t>
      </w:r>
      <w:r w:rsidR="000837CC">
        <w:rPr>
          <w:rFonts w:ascii="Tw Cen MT" w:hAnsi="Tw Cen MT"/>
          <w:sz w:val="28"/>
        </w:rPr>
        <w:t>atribuição exclusiva do Prefeito Municipal, violando a separação de poderes</w:t>
      </w:r>
      <w:r w:rsidR="00B147B5">
        <w:rPr>
          <w:rFonts w:ascii="Tw Cen MT" w:hAnsi="Tw Cen MT"/>
          <w:sz w:val="28"/>
        </w:rPr>
        <w:t xml:space="preserve"> e a </w:t>
      </w:r>
      <w:r w:rsidR="00C325CB">
        <w:rPr>
          <w:rFonts w:ascii="Tw Cen MT" w:hAnsi="Tw Cen MT"/>
          <w:sz w:val="28"/>
        </w:rPr>
        <w:t>competência privativa do Chefe do Poder.</w:t>
      </w:r>
    </w:p>
    <w:p w14:paraId="3596085F" w14:textId="65972E5A" w:rsidR="001A7A68" w:rsidRPr="001A7A68" w:rsidRDefault="00AA6E93" w:rsidP="001A7A68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O </w:t>
      </w:r>
      <w:r w:rsidR="001A7A68" w:rsidRPr="001A7A68">
        <w:rPr>
          <w:rFonts w:ascii="Tw Cen MT" w:hAnsi="Tw Cen MT"/>
          <w:sz w:val="28"/>
        </w:rPr>
        <w:t xml:space="preserve">pedido de liminar </w:t>
      </w:r>
      <w:r>
        <w:rPr>
          <w:rFonts w:ascii="Tw Cen MT" w:hAnsi="Tw Cen MT"/>
          <w:sz w:val="28"/>
        </w:rPr>
        <w:t>foi indeferido (</w:t>
      </w:r>
      <w:r w:rsidR="001A7A68" w:rsidRPr="001A7A68">
        <w:rPr>
          <w:rFonts w:ascii="Tw Cen MT" w:hAnsi="Tw Cen MT"/>
          <w:sz w:val="28"/>
        </w:rPr>
        <w:t xml:space="preserve">fls. </w:t>
      </w:r>
      <w:r>
        <w:rPr>
          <w:rFonts w:ascii="Tw Cen MT" w:hAnsi="Tw Cen MT"/>
          <w:sz w:val="28"/>
        </w:rPr>
        <w:t>39/40</w:t>
      </w:r>
      <w:r w:rsidR="001A7A68" w:rsidRPr="001A7A68">
        <w:rPr>
          <w:rFonts w:ascii="Tw Cen MT" w:hAnsi="Tw Cen MT"/>
          <w:sz w:val="28"/>
        </w:rPr>
        <w:t>).</w:t>
      </w:r>
    </w:p>
    <w:p w14:paraId="57CC0385" w14:textId="73DA246F" w:rsidR="001A7A68" w:rsidRDefault="001A7A68" w:rsidP="001A7A68">
      <w:pPr>
        <w:rPr>
          <w:rFonts w:ascii="Tw Cen MT" w:hAnsi="Tw Cen MT"/>
          <w:sz w:val="28"/>
        </w:rPr>
      </w:pPr>
      <w:r w:rsidRPr="001A7A68">
        <w:rPr>
          <w:rFonts w:ascii="Tw Cen MT" w:hAnsi="Tw Cen MT"/>
          <w:sz w:val="28"/>
        </w:rPr>
        <w:t>Citad</w:t>
      </w:r>
      <w:r w:rsidR="008E4E50">
        <w:rPr>
          <w:rFonts w:ascii="Tw Cen MT" w:hAnsi="Tw Cen MT"/>
          <w:sz w:val="28"/>
        </w:rPr>
        <w:t>a</w:t>
      </w:r>
      <w:r w:rsidRPr="001A7A68">
        <w:rPr>
          <w:rFonts w:ascii="Tw Cen MT" w:hAnsi="Tw Cen MT"/>
          <w:sz w:val="28"/>
        </w:rPr>
        <w:t xml:space="preserve"> (fl. </w:t>
      </w:r>
      <w:r w:rsidR="008E4E50">
        <w:rPr>
          <w:rFonts w:ascii="Tw Cen MT" w:hAnsi="Tw Cen MT"/>
          <w:sz w:val="28"/>
        </w:rPr>
        <w:t>46</w:t>
      </w:r>
      <w:r w:rsidRPr="001A7A68">
        <w:rPr>
          <w:rFonts w:ascii="Tw Cen MT" w:hAnsi="Tw Cen MT"/>
          <w:sz w:val="28"/>
        </w:rPr>
        <w:t xml:space="preserve">), </w:t>
      </w:r>
      <w:r w:rsidR="00AA6E93">
        <w:rPr>
          <w:rFonts w:ascii="Tw Cen MT" w:hAnsi="Tw Cen MT"/>
          <w:sz w:val="28"/>
        </w:rPr>
        <w:t>a douta</w:t>
      </w:r>
      <w:r w:rsidRPr="001A7A68">
        <w:rPr>
          <w:rFonts w:ascii="Tw Cen MT" w:hAnsi="Tw Cen MT"/>
          <w:sz w:val="28"/>
        </w:rPr>
        <w:t xml:space="preserve"> </w:t>
      </w:r>
      <w:r w:rsidR="00AA6E93">
        <w:rPr>
          <w:rFonts w:ascii="Tw Cen MT" w:hAnsi="Tw Cen MT"/>
          <w:sz w:val="28"/>
        </w:rPr>
        <w:t>Pr</w:t>
      </w:r>
      <w:r w:rsidRPr="001A7A68">
        <w:rPr>
          <w:rFonts w:ascii="Tw Cen MT" w:hAnsi="Tw Cen MT"/>
          <w:sz w:val="28"/>
        </w:rPr>
        <w:t>ocurador</w:t>
      </w:r>
      <w:r w:rsidR="00AA6E93">
        <w:rPr>
          <w:rFonts w:ascii="Tw Cen MT" w:hAnsi="Tw Cen MT"/>
          <w:sz w:val="28"/>
        </w:rPr>
        <w:t>a</w:t>
      </w:r>
      <w:r w:rsidRPr="001A7A68">
        <w:rPr>
          <w:rFonts w:ascii="Tw Cen MT" w:hAnsi="Tw Cen MT"/>
          <w:sz w:val="28"/>
        </w:rPr>
        <w:t xml:space="preserve"> Geral do Estado </w:t>
      </w:r>
      <w:r w:rsidR="009C59DD">
        <w:rPr>
          <w:rFonts w:ascii="Tw Cen MT" w:hAnsi="Tw Cen MT"/>
          <w:sz w:val="28"/>
        </w:rPr>
        <w:t>declinou de oferecer</w:t>
      </w:r>
      <w:r w:rsidRPr="001A7A68">
        <w:rPr>
          <w:rFonts w:ascii="Tw Cen MT" w:hAnsi="Tw Cen MT"/>
          <w:sz w:val="28"/>
        </w:rPr>
        <w:t xml:space="preserve"> defesa relativamente ao ato normativo impugnado (fl</w:t>
      </w:r>
      <w:r w:rsidR="009C59DD">
        <w:rPr>
          <w:rFonts w:ascii="Tw Cen MT" w:hAnsi="Tw Cen MT"/>
          <w:sz w:val="28"/>
        </w:rPr>
        <w:t>.73</w:t>
      </w:r>
      <w:r w:rsidRPr="001A7A68">
        <w:rPr>
          <w:rFonts w:ascii="Tw Cen MT" w:hAnsi="Tw Cen MT"/>
          <w:sz w:val="28"/>
        </w:rPr>
        <w:t>).</w:t>
      </w:r>
    </w:p>
    <w:p w14:paraId="12B4AC31" w14:textId="37E0F2DF" w:rsidR="00870895" w:rsidRPr="001A7A68" w:rsidRDefault="00380FB9" w:rsidP="001A7A68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Requerida a reconsideração do indeferimento da liminar</w:t>
      </w:r>
      <w:r w:rsidR="00217FA0">
        <w:rPr>
          <w:rFonts w:ascii="Tw Cen MT" w:hAnsi="Tw Cen MT"/>
          <w:sz w:val="28"/>
        </w:rPr>
        <w:t xml:space="preserve"> (fls. 49/52), o pedido </w:t>
      </w:r>
      <w:r w:rsidR="000F4CA0">
        <w:rPr>
          <w:rFonts w:ascii="Tw Cen MT" w:hAnsi="Tw Cen MT"/>
          <w:sz w:val="28"/>
        </w:rPr>
        <w:t>restou</w:t>
      </w:r>
      <w:r w:rsidR="00C954B0">
        <w:rPr>
          <w:rFonts w:ascii="Tw Cen MT" w:hAnsi="Tw Cen MT"/>
          <w:sz w:val="28"/>
        </w:rPr>
        <w:t>, também,</w:t>
      </w:r>
      <w:r w:rsidR="000F4CA0">
        <w:rPr>
          <w:rFonts w:ascii="Tw Cen MT" w:hAnsi="Tw Cen MT"/>
          <w:sz w:val="28"/>
        </w:rPr>
        <w:t xml:space="preserve"> indeferido, por inexistência de amparo legal</w:t>
      </w:r>
      <w:r w:rsidR="00217FA0">
        <w:rPr>
          <w:rFonts w:ascii="Tw Cen MT" w:hAnsi="Tw Cen MT"/>
          <w:sz w:val="28"/>
        </w:rPr>
        <w:t xml:space="preserve"> </w:t>
      </w:r>
      <w:r w:rsidR="00870895">
        <w:rPr>
          <w:rFonts w:ascii="Tw Cen MT" w:hAnsi="Tw Cen MT"/>
          <w:sz w:val="28"/>
        </w:rPr>
        <w:t xml:space="preserve">(fls. </w:t>
      </w:r>
      <w:r w:rsidR="00870895" w:rsidRPr="00870895">
        <w:rPr>
          <w:rFonts w:ascii="Tw Cen MT" w:hAnsi="Tw Cen MT"/>
          <w:sz w:val="28"/>
        </w:rPr>
        <w:t>54/55</w:t>
      </w:r>
      <w:r w:rsidR="00217FA0">
        <w:rPr>
          <w:rFonts w:ascii="Tw Cen MT" w:hAnsi="Tw Cen MT"/>
          <w:sz w:val="28"/>
        </w:rPr>
        <w:t>)</w:t>
      </w:r>
      <w:r w:rsidR="000F4CA0">
        <w:rPr>
          <w:rFonts w:ascii="Tw Cen MT" w:hAnsi="Tw Cen MT"/>
          <w:sz w:val="28"/>
        </w:rPr>
        <w:t>.</w:t>
      </w:r>
      <w:r w:rsidR="00217FA0">
        <w:rPr>
          <w:rFonts w:ascii="Tw Cen MT" w:hAnsi="Tw Cen MT"/>
          <w:sz w:val="28"/>
        </w:rPr>
        <w:t xml:space="preserve"> </w:t>
      </w:r>
    </w:p>
    <w:p w14:paraId="48AFEB72" w14:textId="17969AC7" w:rsidR="001A7A68" w:rsidRPr="001A7A68" w:rsidRDefault="001A7A68" w:rsidP="001A7A68">
      <w:pPr>
        <w:rPr>
          <w:rFonts w:ascii="Tw Cen MT" w:hAnsi="Tw Cen MT"/>
          <w:sz w:val="28"/>
        </w:rPr>
      </w:pPr>
      <w:r w:rsidRPr="001A7A68">
        <w:rPr>
          <w:rFonts w:ascii="Tw Cen MT" w:hAnsi="Tw Cen MT"/>
          <w:sz w:val="28"/>
        </w:rPr>
        <w:t xml:space="preserve">A Presidência da Câmara Municipal prestou informações (fls. </w:t>
      </w:r>
      <w:r w:rsidR="007B0DC6">
        <w:rPr>
          <w:rFonts w:ascii="Tw Cen MT" w:hAnsi="Tw Cen MT"/>
          <w:sz w:val="28"/>
        </w:rPr>
        <w:t>58</w:t>
      </w:r>
      <w:r w:rsidR="00B070C7">
        <w:rPr>
          <w:rFonts w:ascii="Tw Cen MT" w:hAnsi="Tw Cen MT"/>
          <w:sz w:val="28"/>
        </w:rPr>
        <w:t>/62</w:t>
      </w:r>
      <w:r w:rsidRPr="001A7A68">
        <w:rPr>
          <w:rFonts w:ascii="Tw Cen MT" w:hAnsi="Tw Cen MT"/>
          <w:sz w:val="28"/>
        </w:rPr>
        <w:t>)</w:t>
      </w:r>
      <w:r w:rsidR="00192F16">
        <w:rPr>
          <w:rFonts w:ascii="Tw Cen MT" w:hAnsi="Tw Cen MT"/>
          <w:sz w:val="28"/>
        </w:rPr>
        <w:t>, limit</w:t>
      </w:r>
      <w:r w:rsidR="00ED030D">
        <w:rPr>
          <w:rFonts w:ascii="Tw Cen MT" w:hAnsi="Tw Cen MT"/>
          <w:sz w:val="28"/>
        </w:rPr>
        <w:t>ando</w:t>
      </w:r>
      <w:r w:rsidR="00192F16">
        <w:rPr>
          <w:rFonts w:ascii="Tw Cen MT" w:hAnsi="Tw Cen MT"/>
          <w:sz w:val="28"/>
        </w:rPr>
        <w:t xml:space="preserve">-se a atestar a regularidade do procedimento </w:t>
      </w:r>
      <w:r w:rsidR="00243C57">
        <w:rPr>
          <w:rFonts w:ascii="Tw Cen MT" w:hAnsi="Tw Cen MT"/>
          <w:sz w:val="28"/>
        </w:rPr>
        <w:t>formal para a aprovação da Lei ora impugnada</w:t>
      </w:r>
      <w:r w:rsidRPr="001A7A68">
        <w:rPr>
          <w:rFonts w:ascii="Tw Cen MT" w:hAnsi="Tw Cen MT"/>
          <w:sz w:val="28"/>
        </w:rPr>
        <w:t>.</w:t>
      </w:r>
    </w:p>
    <w:p w14:paraId="1FE83DFF" w14:textId="77777777" w:rsidR="001A7A68" w:rsidRPr="001A7A68" w:rsidRDefault="001A7A68" w:rsidP="001A7A68">
      <w:pPr>
        <w:rPr>
          <w:rFonts w:ascii="Tw Cen MT" w:hAnsi="Tw Cen MT"/>
          <w:sz w:val="28"/>
        </w:rPr>
      </w:pPr>
      <w:r w:rsidRPr="001A7A68">
        <w:rPr>
          <w:rFonts w:ascii="Tw Cen MT" w:hAnsi="Tw Cen MT"/>
          <w:sz w:val="28"/>
        </w:rPr>
        <w:t>É o relato do essencial.</w:t>
      </w:r>
    </w:p>
    <w:p w14:paraId="2B9F215A" w14:textId="77777777" w:rsidR="001A7A68" w:rsidRPr="001A7A68" w:rsidRDefault="001A7A68" w:rsidP="001A7A68">
      <w:pPr>
        <w:rPr>
          <w:rFonts w:ascii="Tw Cen MT" w:hAnsi="Tw Cen MT"/>
          <w:b/>
          <w:sz w:val="28"/>
        </w:rPr>
      </w:pPr>
      <w:r w:rsidRPr="001A7A68">
        <w:rPr>
          <w:rFonts w:ascii="Tw Cen MT" w:hAnsi="Tw Cen MT"/>
          <w:b/>
          <w:sz w:val="28"/>
        </w:rPr>
        <w:t>O pedido deve ser julgado improcedente.</w:t>
      </w:r>
    </w:p>
    <w:p w14:paraId="12CF38A3" w14:textId="629517BF" w:rsidR="001A7A68" w:rsidRPr="001A7A68" w:rsidRDefault="00CC103A" w:rsidP="001A7A68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O Anexo V da Lei Complementar n. 66/2011</w:t>
      </w:r>
      <w:r w:rsidR="001A7A68" w:rsidRPr="001A7A68">
        <w:rPr>
          <w:rFonts w:ascii="Tw Cen MT" w:hAnsi="Tw Cen MT"/>
          <w:sz w:val="28"/>
        </w:rPr>
        <w:t>,</w:t>
      </w:r>
      <w:r w:rsidR="00B3077E">
        <w:rPr>
          <w:rFonts w:ascii="Tw Cen MT" w:hAnsi="Tw Cen MT"/>
          <w:sz w:val="28"/>
        </w:rPr>
        <w:t xml:space="preserve"> na redação dada pela Lei Complementar n. 89/2015, ambas do Município de Alvinlândia,</w:t>
      </w:r>
      <w:r w:rsidR="001A7A68" w:rsidRPr="001A7A68">
        <w:rPr>
          <w:rFonts w:ascii="Tw Cen MT" w:hAnsi="Tw Cen MT"/>
          <w:sz w:val="28"/>
        </w:rPr>
        <w:t xml:space="preserve"> tem a seguinte redação:</w:t>
      </w:r>
    </w:p>
    <w:p w14:paraId="2A18093E" w14:textId="30712E50" w:rsidR="00B3077E" w:rsidRPr="00A53C01" w:rsidRDefault="00A53C01" w:rsidP="00A53C01">
      <w:pPr>
        <w:ind w:left="2835" w:firstLine="0"/>
        <w:jc w:val="center"/>
        <w:rPr>
          <w:rFonts w:ascii="Tw Cen MT" w:hAnsi="Tw Cen MT"/>
          <w:b/>
          <w:sz w:val="26"/>
        </w:rPr>
      </w:pPr>
      <w:r w:rsidRPr="00A53C01">
        <w:rPr>
          <w:rFonts w:ascii="Tw Cen MT" w:hAnsi="Tw Cen MT"/>
          <w:b/>
          <w:sz w:val="26"/>
        </w:rPr>
        <w:t>ANEXO V</w:t>
      </w:r>
    </w:p>
    <w:p w14:paraId="6BB047C7" w14:textId="2B7CCDB7" w:rsidR="00A53C01" w:rsidRPr="000F054D" w:rsidRDefault="00A53C01" w:rsidP="000F054D">
      <w:pPr>
        <w:ind w:left="2835" w:firstLine="0"/>
        <w:jc w:val="center"/>
        <w:rPr>
          <w:rFonts w:ascii="Tw Cen MT" w:hAnsi="Tw Cen MT"/>
          <w:b/>
          <w:sz w:val="26"/>
        </w:rPr>
      </w:pPr>
      <w:r w:rsidRPr="00A53C01">
        <w:rPr>
          <w:rFonts w:ascii="Tw Cen MT" w:hAnsi="Tw Cen MT"/>
          <w:b/>
          <w:sz w:val="26"/>
        </w:rPr>
        <w:t>Secretário Municipal de Edu</w:t>
      </w:r>
      <w:r>
        <w:rPr>
          <w:rFonts w:ascii="Tw Cen MT" w:hAnsi="Tw Cen MT"/>
          <w:b/>
          <w:sz w:val="26"/>
        </w:rPr>
        <w:t>ca</w:t>
      </w:r>
      <w:r w:rsidRPr="00A53C01">
        <w:rPr>
          <w:rFonts w:ascii="Tw Cen MT" w:hAnsi="Tw Cen MT"/>
          <w:b/>
          <w:sz w:val="26"/>
        </w:rPr>
        <w:t>ção</w:t>
      </w:r>
    </w:p>
    <w:tbl>
      <w:tblPr>
        <w:tblW w:w="6435" w:type="dxa"/>
        <w:tblInd w:w="275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1984"/>
        <w:gridCol w:w="1823"/>
      </w:tblGrid>
      <w:tr w:rsidR="000D6923" w14:paraId="4007AF32" w14:textId="56F43D05" w:rsidTr="00A0796F">
        <w:trPr>
          <w:trHeight w:val="100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</w:tcPr>
          <w:p w14:paraId="0A74DB24" w14:textId="28577614" w:rsidR="000D6923" w:rsidRDefault="00243797" w:rsidP="00243797">
            <w:pPr>
              <w:ind w:firstLine="0"/>
              <w:jc w:val="center"/>
              <w:rPr>
                <w:rFonts w:ascii="Tw Cen MT" w:hAnsi="Tw Cen MT"/>
                <w:sz w:val="26"/>
              </w:rPr>
            </w:pPr>
            <w:r>
              <w:rPr>
                <w:rFonts w:ascii="Tw Cen MT" w:hAnsi="Tw Cen MT"/>
                <w:sz w:val="26"/>
              </w:rPr>
              <w:t>DENOMINAÇÃO DA FUNÇÃO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5D8D6CB0" w14:textId="45D9A7CD" w:rsidR="000D6923" w:rsidRDefault="00243797" w:rsidP="00243797">
            <w:pPr>
              <w:ind w:firstLine="0"/>
              <w:jc w:val="center"/>
              <w:rPr>
                <w:rFonts w:ascii="Tw Cen MT" w:hAnsi="Tw Cen MT"/>
                <w:sz w:val="26"/>
              </w:rPr>
            </w:pPr>
            <w:r>
              <w:rPr>
                <w:rFonts w:ascii="Tw Cen MT" w:hAnsi="Tw Cen MT"/>
                <w:sz w:val="26"/>
              </w:rPr>
              <w:t>FORMA DE PROVIMENTO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F0D" w14:textId="1CA96D3C" w:rsidR="000D6923" w:rsidRDefault="00243797" w:rsidP="00243797">
            <w:pPr>
              <w:ind w:firstLine="0"/>
              <w:jc w:val="center"/>
              <w:rPr>
                <w:rFonts w:ascii="Tw Cen MT" w:hAnsi="Tw Cen MT"/>
                <w:sz w:val="26"/>
              </w:rPr>
            </w:pPr>
            <w:r>
              <w:rPr>
                <w:rFonts w:ascii="Tw Cen MT" w:hAnsi="Tw Cen MT"/>
                <w:sz w:val="26"/>
              </w:rPr>
              <w:t>REQUISITO PARA O PROVIMENTO</w:t>
            </w:r>
          </w:p>
        </w:tc>
      </w:tr>
      <w:tr w:rsidR="000D6923" w14:paraId="23AC660F" w14:textId="612641F3" w:rsidTr="000F054D">
        <w:trPr>
          <w:trHeight w:val="1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236" w14:textId="65514179" w:rsidR="000D6923" w:rsidRPr="00243797" w:rsidRDefault="00243797" w:rsidP="000D6923">
            <w:pPr>
              <w:ind w:firstLine="0"/>
              <w:rPr>
                <w:rFonts w:ascii="Tw Cen MT" w:hAnsi="Tw Cen MT"/>
                <w:b/>
                <w:sz w:val="26"/>
              </w:rPr>
            </w:pPr>
            <w:r w:rsidRPr="00243797">
              <w:rPr>
                <w:rFonts w:ascii="Tw Cen MT" w:hAnsi="Tw Cen MT"/>
                <w:b/>
                <w:sz w:val="26"/>
              </w:rPr>
              <w:t>Secretário Municipal de Educação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A2729" w14:textId="4A310648" w:rsidR="000D6923" w:rsidRDefault="00243797" w:rsidP="000D6923">
            <w:pPr>
              <w:ind w:firstLine="0"/>
              <w:rPr>
                <w:rFonts w:ascii="Tw Cen MT" w:hAnsi="Tw Cen MT"/>
                <w:sz w:val="26"/>
              </w:rPr>
            </w:pPr>
            <w:r>
              <w:rPr>
                <w:rFonts w:ascii="Tw Cen MT" w:hAnsi="Tw Cen MT"/>
                <w:sz w:val="26"/>
              </w:rPr>
              <w:t xml:space="preserve">Em comissão, mediante nomeação pelo chefe do </w:t>
            </w:r>
            <w:r w:rsidR="00A0796F">
              <w:rPr>
                <w:rFonts w:ascii="Tw Cen MT" w:hAnsi="Tw Cen MT"/>
                <w:sz w:val="26"/>
              </w:rPr>
              <w:t>executivo</w:t>
            </w:r>
            <w:r>
              <w:rPr>
                <w:rFonts w:ascii="Tw Cen MT" w:hAnsi="Tw Cen MT"/>
                <w:sz w:val="26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59D" w14:textId="55CAC51B" w:rsidR="000D6923" w:rsidRDefault="00243797" w:rsidP="000D6923">
            <w:pPr>
              <w:ind w:firstLine="0"/>
              <w:rPr>
                <w:rFonts w:ascii="Tw Cen MT" w:hAnsi="Tw Cen MT"/>
                <w:sz w:val="26"/>
              </w:rPr>
            </w:pPr>
            <w:r>
              <w:rPr>
                <w:rFonts w:ascii="Tw Cen MT" w:hAnsi="Tw Cen MT"/>
                <w:sz w:val="26"/>
              </w:rPr>
              <w:t>Curso Superior ou Pós</w:t>
            </w:r>
            <w:r w:rsidR="00A0796F">
              <w:rPr>
                <w:rFonts w:ascii="Tw Cen MT" w:hAnsi="Tw Cen MT"/>
                <w:sz w:val="26"/>
              </w:rPr>
              <w:t>-graduação (e ter no mínimo de 5 anos de efetivo exercício no magistério.</w:t>
            </w:r>
          </w:p>
        </w:tc>
      </w:tr>
    </w:tbl>
    <w:p w14:paraId="41058323" w14:textId="77777777" w:rsidR="00A0796F" w:rsidRDefault="00A0796F" w:rsidP="001A7A68">
      <w:pPr>
        <w:ind w:left="2835" w:firstLine="0"/>
        <w:rPr>
          <w:rFonts w:ascii="Tw Cen MT" w:hAnsi="Tw Cen MT"/>
          <w:sz w:val="26"/>
        </w:rPr>
      </w:pPr>
    </w:p>
    <w:p w14:paraId="62081515" w14:textId="77777777" w:rsidR="001A7A68" w:rsidRPr="001A7A68" w:rsidRDefault="001A7A68" w:rsidP="001A7A68">
      <w:pPr>
        <w:rPr>
          <w:rFonts w:ascii="Tw Cen MT" w:hAnsi="Tw Cen MT"/>
          <w:b/>
          <w:bCs/>
          <w:sz w:val="28"/>
          <w:szCs w:val="28"/>
        </w:rPr>
      </w:pPr>
      <w:r w:rsidRPr="001A7A68">
        <w:rPr>
          <w:rFonts w:ascii="Tw Cen MT" w:hAnsi="Tw Cen MT"/>
          <w:b/>
          <w:bCs/>
          <w:sz w:val="28"/>
          <w:szCs w:val="28"/>
        </w:rPr>
        <w:t>Não se verifica qualquer violação aos parâmetros da Constituição Estadual indicados na inicial.</w:t>
      </w:r>
    </w:p>
    <w:p w14:paraId="6B1DB200" w14:textId="77777777" w:rsidR="001A7A68" w:rsidRPr="001A7A68" w:rsidRDefault="001A7A68" w:rsidP="001A7A68">
      <w:pPr>
        <w:rPr>
          <w:rFonts w:ascii="Tw Cen MT" w:hAnsi="Tw Cen MT"/>
          <w:sz w:val="28"/>
        </w:rPr>
      </w:pPr>
      <w:r w:rsidRPr="001A7A68">
        <w:rPr>
          <w:rFonts w:ascii="Tw Cen MT" w:hAnsi="Tw Cen MT"/>
          <w:sz w:val="28"/>
        </w:rPr>
        <w:t xml:space="preserve">O art. 24 da Constituição Estadual cuida das matérias inseridas dentro da iniciativa de lei do Governador do Estado, com destaque para o § 2º, 1, que prevê que compete, exclusivamente, ao Governador do Estado a iniciativa das leis que disponham sobre criação e extinção de cargos, funções ou empregos públicos na administração direta e autárquica, bem como a fixação da respectiva remuneração.  O art. 47 também trata de matérias de competência legislativa privativa do Governador do Estado. </w:t>
      </w:r>
    </w:p>
    <w:p w14:paraId="6D428F00" w14:textId="777B9A05" w:rsidR="001A7A68" w:rsidRPr="001A7A68" w:rsidRDefault="001A7A68" w:rsidP="001A7A68">
      <w:pPr>
        <w:rPr>
          <w:rFonts w:ascii="Tw Cen MT" w:hAnsi="Tw Cen MT"/>
          <w:bCs/>
          <w:sz w:val="28"/>
          <w:szCs w:val="28"/>
        </w:rPr>
      </w:pPr>
      <w:r w:rsidRPr="001A7A68">
        <w:rPr>
          <w:rFonts w:ascii="Tw Cen MT" w:hAnsi="Tw Cen MT"/>
          <w:bCs/>
          <w:sz w:val="28"/>
          <w:szCs w:val="28"/>
        </w:rPr>
        <w:t>A imposição de restrições à no</w:t>
      </w:r>
      <w:r w:rsidR="004A2041">
        <w:rPr>
          <w:rFonts w:ascii="Tw Cen MT" w:hAnsi="Tw Cen MT"/>
          <w:bCs/>
          <w:sz w:val="28"/>
          <w:szCs w:val="28"/>
        </w:rPr>
        <w:t xml:space="preserve">meação de Secretário </w:t>
      </w:r>
      <w:r w:rsidR="009D564D">
        <w:rPr>
          <w:rFonts w:ascii="Tw Cen MT" w:hAnsi="Tw Cen MT"/>
          <w:bCs/>
          <w:sz w:val="28"/>
          <w:szCs w:val="28"/>
        </w:rPr>
        <w:t xml:space="preserve">Municipal de Educação </w:t>
      </w:r>
      <w:r w:rsidRPr="001A7A68">
        <w:rPr>
          <w:rFonts w:ascii="Tw Cen MT" w:hAnsi="Tw Cen MT"/>
          <w:bCs/>
          <w:sz w:val="28"/>
          <w:szCs w:val="28"/>
        </w:rPr>
        <w:t>pela Câmara Municipal, não significa ingerência do Poder Legislativo na esfera de atribuição do Poder Executivo em violação ao princípio da separação dos poderes.</w:t>
      </w:r>
    </w:p>
    <w:p w14:paraId="2D74ED82" w14:textId="77777777" w:rsidR="001A7A68" w:rsidRPr="001A7A68" w:rsidRDefault="001A7A68" w:rsidP="001A7A68">
      <w:pPr>
        <w:rPr>
          <w:rFonts w:ascii="Tw Cen MT" w:hAnsi="Tw Cen MT"/>
          <w:sz w:val="28"/>
        </w:rPr>
      </w:pPr>
      <w:r w:rsidRPr="001A7A68">
        <w:rPr>
          <w:rFonts w:ascii="Tw Cen MT" w:hAnsi="Tw Cen MT"/>
          <w:bCs/>
          <w:sz w:val="28"/>
          <w:szCs w:val="28"/>
        </w:rPr>
        <w:t>O art. 37, I, da Constituição Federal, reproduzido no art. 115, I, da Constituição do Estado, estabelece que os cargos, empregos e funções públicas são acessíveis aos brasileiros que preencham os requisitos estabelecidos em lei</w:t>
      </w:r>
      <w:r w:rsidRPr="001A7A68">
        <w:rPr>
          <w:rFonts w:ascii="Tw Cen MT" w:hAnsi="Tw Cen MT"/>
          <w:sz w:val="28"/>
        </w:rPr>
        <w:t>.</w:t>
      </w:r>
    </w:p>
    <w:p w14:paraId="79C86D77" w14:textId="77777777" w:rsidR="001A7A68" w:rsidRPr="001A7A68" w:rsidRDefault="001A7A68" w:rsidP="001A7A68">
      <w:pPr>
        <w:rPr>
          <w:rFonts w:ascii="Tw Cen MT" w:hAnsi="Tw Cen MT"/>
          <w:bCs/>
          <w:i/>
          <w:sz w:val="28"/>
          <w:szCs w:val="28"/>
        </w:rPr>
      </w:pPr>
      <w:r w:rsidRPr="001A7A68">
        <w:rPr>
          <w:rFonts w:ascii="Tw Cen MT" w:hAnsi="Tw Cen MT"/>
          <w:bCs/>
          <w:sz w:val="28"/>
          <w:szCs w:val="28"/>
        </w:rPr>
        <w:t xml:space="preserve">O § 3º do art. 39 da Constituição Federal prevê que: </w:t>
      </w:r>
      <w:r w:rsidRPr="001A7A68">
        <w:rPr>
          <w:rFonts w:ascii="Tw Cen MT" w:hAnsi="Tw Cen MT"/>
          <w:bCs/>
          <w:i/>
          <w:sz w:val="28"/>
          <w:szCs w:val="28"/>
        </w:rPr>
        <w:t>“Aplica-se aos servidores ocupantes de cargo público o disposto no art. 7º, IV, VII, VIII, IX, XII, XIII, XV, XVI, XVII, XVIII, XIX, XX, XXII e XXX, podendo a lei estabelecer requisitos diferenciados de admissão quando a natureza do cargo o exigir”.</w:t>
      </w:r>
    </w:p>
    <w:p w14:paraId="191C54E3" w14:textId="77777777" w:rsidR="001A7A68" w:rsidRPr="001A7A68" w:rsidRDefault="001A7A68" w:rsidP="001A7A68">
      <w:pPr>
        <w:rPr>
          <w:rFonts w:ascii="Tw Cen MT" w:hAnsi="Tw Cen MT"/>
          <w:bCs/>
          <w:sz w:val="28"/>
          <w:szCs w:val="28"/>
        </w:rPr>
      </w:pPr>
      <w:r w:rsidRPr="001A7A68">
        <w:rPr>
          <w:rFonts w:ascii="Tw Cen MT" w:hAnsi="Tw Cen MT"/>
          <w:bCs/>
          <w:sz w:val="28"/>
          <w:szCs w:val="28"/>
        </w:rPr>
        <w:t>Admite-se, portanto, que através de lei sejam previstas contenções de acessibilidade ao serviço público.</w:t>
      </w:r>
    </w:p>
    <w:p w14:paraId="6EF1363E" w14:textId="77777777" w:rsidR="001A7A68" w:rsidRPr="001A7A68" w:rsidRDefault="001A7A68" w:rsidP="001A7A68">
      <w:pPr>
        <w:rPr>
          <w:rFonts w:ascii="Tw Cen MT" w:hAnsi="Tw Cen MT"/>
          <w:color w:val="000000"/>
          <w:sz w:val="28"/>
          <w:szCs w:val="28"/>
        </w:rPr>
      </w:pPr>
      <w:r w:rsidRPr="001A7A68">
        <w:rPr>
          <w:rFonts w:ascii="Tw Cen MT" w:hAnsi="Tw Cen MT"/>
          <w:color w:val="000000"/>
          <w:sz w:val="28"/>
          <w:szCs w:val="28"/>
        </w:rPr>
        <w:t>Resta apenas verificar, a vista do princípio da separação de poderes, se a iniciativa legislativa para o estabelecimento de condições para provimento de cargos comissionados é reservada ou não ao Chefe do Poder Executivo.</w:t>
      </w:r>
    </w:p>
    <w:p w14:paraId="36BAE80D" w14:textId="77777777" w:rsidR="001A7A68" w:rsidRPr="001A7A68" w:rsidRDefault="001A7A68" w:rsidP="001A7A68">
      <w:pPr>
        <w:rPr>
          <w:rFonts w:ascii="Tw Cen MT" w:hAnsi="Tw Cen MT"/>
          <w:color w:val="000000"/>
          <w:sz w:val="28"/>
          <w:szCs w:val="28"/>
        </w:rPr>
      </w:pPr>
      <w:r w:rsidRPr="001A7A68">
        <w:rPr>
          <w:rFonts w:ascii="Tw Cen MT" w:hAnsi="Tw Cen MT"/>
          <w:color w:val="000000"/>
          <w:sz w:val="28"/>
          <w:szCs w:val="28"/>
        </w:rPr>
        <w:t xml:space="preserve">A primeira impressão, extraída do art. 24, § 2º, 1 e 4, da Constituição Estadual, que reproduz o art. 61, § 1º, II, </w:t>
      </w:r>
      <w:r w:rsidRPr="001A7A68">
        <w:rPr>
          <w:rFonts w:ascii="Tw Cen MT" w:hAnsi="Tw Cen MT"/>
          <w:i/>
          <w:color w:val="000000"/>
          <w:sz w:val="28"/>
          <w:szCs w:val="28"/>
        </w:rPr>
        <w:t>a</w:t>
      </w:r>
      <w:r w:rsidRPr="001A7A68">
        <w:rPr>
          <w:rFonts w:ascii="Tw Cen MT" w:hAnsi="Tw Cen MT"/>
          <w:color w:val="000000"/>
          <w:sz w:val="28"/>
          <w:szCs w:val="28"/>
        </w:rPr>
        <w:t xml:space="preserve"> e </w:t>
      </w:r>
      <w:r w:rsidRPr="001A7A68">
        <w:rPr>
          <w:rFonts w:ascii="Tw Cen MT" w:hAnsi="Tw Cen MT"/>
          <w:i/>
          <w:color w:val="000000"/>
          <w:sz w:val="28"/>
          <w:szCs w:val="28"/>
        </w:rPr>
        <w:t>c</w:t>
      </w:r>
      <w:r w:rsidRPr="001A7A68">
        <w:rPr>
          <w:rFonts w:ascii="Tw Cen MT" w:hAnsi="Tw Cen MT"/>
          <w:color w:val="000000"/>
          <w:sz w:val="28"/>
          <w:szCs w:val="28"/>
        </w:rPr>
        <w:t>, da Constituição Federal, tenderia a uma resposta positiva.</w:t>
      </w:r>
    </w:p>
    <w:p w14:paraId="3B651A8E" w14:textId="77777777" w:rsidR="001A7A68" w:rsidRPr="001A7A68" w:rsidRDefault="001A7A68" w:rsidP="001A7A68">
      <w:pPr>
        <w:rPr>
          <w:rFonts w:ascii="Tw Cen MT" w:hAnsi="Tw Cen MT"/>
          <w:bCs/>
          <w:sz w:val="28"/>
          <w:szCs w:val="28"/>
        </w:rPr>
      </w:pPr>
      <w:r w:rsidRPr="001A7A68">
        <w:rPr>
          <w:rFonts w:ascii="Tw Cen MT" w:hAnsi="Tw Cen MT"/>
          <w:bCs/>
          <w:sz w:val="28"/>
          <w:szCs w:val="28"/>
        </w:rPr>
        <w:t>No entanto, a reserva de lei à qual alude o inciso I do art. 115 da CE e o § 3º do art. 39 da CF não é privativa do Poder Executivo, pois não se encontra inserida dentre as matérias de competência privativa previstas nos art. 24, § 2º, e 47 da Constituição Estadual.</w:t>
      </w:r>
    </w:p>
    <w:p w14:paraId="30B89FA4" w14:textId="77777777" w:rsidR="001A7A68" w:rsidRPr="001A7A68" w:rsidRDefault="001A7A68" w:rsidP="001A7A68">
      <w:pPr>
        <w:rPr>
          <w:rFonts w:ascii="Tw Cen MT" w:hAnsi="Tw Cen MT"/>
          <w:bCs/>
          <w:sz w:val="28"/>
          <w:szCs w:val="28"/>
        </w:rPr>
      </w:pPr>
      <w:r w:rsidRPr="001A7A68">
        <w:rPr>
          <w:rFonts w:ascii="Tw Cen MT" w:hAnsi="Tw Cen MT"/>
          <w:bCs/>
          <w:sz w:val="28"/>
          <w:szCs w:val="28"/>
        </w:rPr>
        <w:t>O estabelecimento de restrições gerais ao acesso aos cargos, funções e empregos públicos não se trata de privativa atividade administrativa (ou executiva), mas sim de função de Estado, razão pela qual a iniciativa parlamentar neste sentido não viola o princípio da separação de poderes.</w:t>
      </w:r>
    </w:p>
    <w:p w14:paraId="35D11931" w14:textId="77777777" w:rsidR="001A7A68" w:rsidRPr="001A7A68" w:rsidRDefault="001A7A68" w:rsidP="001A7A68">
      <w:pPr>
        <w:rPr>
          <w:rFonts w:ascii="Tw Cen MT" w:hAnsi="Tw Cen MT"/>
          <w:bCs/>
          <w:sz w:val="28"/>
          <w:szCs w:val="28"/>
        </w:rPr>
      </w:pPr>
      <w:r w:rsidRPr="001A7A68">
        <w:rPr>
          <w:rFonts w:ascii="Tw Cen MT" w:hAnsi="Tw Cen MT"/>
          <w:bCs/>
          <w:sz w:val="28"/>
          <w:szCs w:val="28"/>
        </w:rPr>
        <w:t>Não se trata de atividade de organização da administração pública ou de regime jurídico do funcionalismo público, mas de condições de acesso ao serviço público em geral.</w:t>
      </w:r>
    </w:p>
    <w:p w14:paraId="31C032A3" w14:textId="77777777" w:rsidR="001A7A68" w:rsidRPr="001A7A68" w:rsidRDefault="001A7A68" w:rsidP="001A7A68">
      <w:pPr>
        <w:rPr>
          <w:rFonts w:ascii="Tw Cen MT" w:hAnsi="Tw Cen MT"/>
          <w:bCs/>
          <w:sz w:val="28"/>
          <w:szCs w:val="28"/>
        </w:rPr>
      </w:pPr>
      <w:r w:rsidRPr="001A7A68">
        <w:rPr>
          <w:rFonts w:ascii="Tw Cen MT" w:hAnsi="Tw Cen MT"/>
          <w:bCs/>
          <w:sz w:val="28"/>
          <w:szCs w:val="28"/>
        </w:rPr>
        <w:t xml:space="preserve">A reserva legislativa do Executivo, prevista no </w:t>
      </w:r>
      <w:r w:rsidRPr="001A7A68">
        <w:rPr>
          <w:rFonts w:ascii="Tw Cen MT" w:hAnsi="Tw Cen MT"/>
          <w:color w:val="000000"/>
          <w:sz w:val="28"/>
          <w:szCs w:val="28"/>
        </w:rPr>
        <w:t>art. 24, § 2º, 1 e 4, da Constituição Estadual, refere-se tão só à criação e extinção de cargos, funções e empregos no serviço público.</w:t>
      </w:r>
      <w:r w:rsidRPr="001A7A68">
        <w:rPr>
          <w:rFonts w:ascii="Tw Cen MT" w:hAnsi="Tw Cen MT"/>
          <w:bCs/>
          <w:sz w:val="28"/>
          <w:szCs w:val="28"/>
        </w:rPr>
        <w:t xml:space="preserve"> Isso significa que a lei pode enunciar termos, condições e especificações, no interior dos quais procederá o chefe do Executivo.</w:t>
      </w:r>
    </w:p>
    <w:p w14:paraId="356355C8" w14:textId="77777777" w:rsidR="001A7A68" w:rsidRPr="001A7A68" w:rsidRDefault="001A7A68" w:rsidP="001A7A68">
      <w:pPr>
        <w:rPr>
          <w:rFonts w:ascii="Tw Cen MT" w:hAnsi="Tw Cen MT"/>
          <w:sz w:val="28"/>
        </w:rPr>
      </w:pPr>
      <w:r w:rsidRPr="001A7A68">
        <w:rPr>
          <w:rFonts w:ascii="Tw Cen MT" w:hAnsi="Tw Cen MT"/>
          <w:bCs/>
          <w:sz w:val="28"/>
          <w:szCs w:val="28"/>
        </w:rPr>
        <w:t>Neste sentido o ensinamento de Celso Antonio Bandeira de Mello ao consignar que: “</w:t>
      </w:r>
      <w:r w:rsidRPr="001A7A68">
        <w:rPr>
          <w:rFonts w:ascii="Tw Cen MT" w:hAnsi="Tw Cen MT"/>
          <w:bCs/>
          <w:i/>
          <w:sz w:val="28"/>
          <w:szCs w:val="28"/>
        </w:rPr>
        <w:t xml:space="preserve">A extinção de cargos públicos dar-se-á através de atos da mesma natureza, podendo também, quando pertinentes ao Poder Executivo, ser extintos ‘na forma da lei’, pelo chefe deste Poder, conforme prevê o art.84, XXV, da Constituição. Isto significa que a lei pode enunciar termos, condições e especificações, no interior dos quais procederá o Chefe do Executivo”. </w:t>
      </w:r>
      <w:r w:rsidRPr="001A7A68">
        <w:rPr>
          <w:rFonts w:ascii="Tw Cen MT" w:hAnsi="Tw Cen MT"/>
          <w:bCs/>
          <w:sz w:val="28"/>
          <w:szCs w:val="28"/>
        </w:rPr>
        <w:t>(</w:t>
      </w:r>
      <w:r w:rsidRPr="001A7A68">
        <w:rPr>
          <w:rFonts w:ascii="Tw Cen MT" w:hAnsi="Tw Cen MT"/>
          <w:bCs/>
          <w:i/>
          <w:sz w:val="28"/>
          <w:szCs w:val="28"/>
        </w:rPr>
        <w:t>Curso de Direito Administrativo</w:t>
      </w:r>
      <w:r w:rsidRPr="001A7A68">
        <w:rPr>
          <w:rFonts w:ascii="Tw Cen MT" w:hAnsi="Tw Cen MT"/>
          <w:sz w:val="28"/>
        </w:rPr>
        <w:t>. 29ª ed. Rev. At., Malheiros, 2012, p. 309)</w:t>
      </w:r>
    </w:p>
    <w:p w14:paraId="3EDEA6D5" w14:textId="77777777" w:rsidR="001A7A68" w:rsidRPr="001A7A68" w:rsidRDefault="001A7A68" w:rsidP="001A7A68">
      <w:pPr>
        <w:rPr>
          <w:rFonts w:ascii="Tw Cen MT" w:hAnsi="Tw Cen MT"/>
          <w:color w:val="000000"/>
          <w:sz w:val="28"/>
          <w:szCs w:val="28"/>
        </w:rPr>
      </w:pPr>
      <w:r w:rsidRPr="001A7A68">
        <w:rPr>
          <w:rFonts w:ascii="Tw Cen MT" w:hAnsi="Tw Cen MT"/>
          <w:color w:val="000000"/>
          <w:sz w:val="28"/>
          <w:szCs w:val="28"/>
        </w:rPr>
        <w:t>Foi este tratamento conferido em situação absolutamente similar, consistente na edição de regras de combate ao nepotismo, afinal, a exigência de honorabilidade para o provimento de cargos públicos é algo que se situa no raio de incidência do princípio da moralidade administrativa (art. 37, Constituição Federal; art. 111, Constituição Estadual), base que une a legislação reacionária ao nepotismo e de adoção da “ficha limpa” no provimento de cargos públicos comissionados.</w:t>
      </w:r>
    </w:p>
    <w:p w14:paraId="7EB316A9" w14:textId="77777777" w:rsidR="001A7A68" w:rsidRPr="001A7A68" w:rsidRDefault="001A7A68" w:rsidP="001A7A68">
      <w:pPr>
        <w:rPr>
          <w:rFonts w:ascii="Tw Cen MT" w:hAnsi="Tw Cen MT"/>
          <w:color w:val="000000"/>
          <w:sz w:val="28"/>
          <w:szCs w:val="28"/>
        </w:rPr>
      </w:pPr>
      <w:r w:rsidRPr="001A7A68">
        <w:rPr>
          <w:rFonts w:ascii="Tw Cen MT" w:hAnsi="Tw Cen MT"/>
          <w:color w:val="000000"/>
          <w:sz w:val="28"/>
          <w:szCs w:val="28"/>
        </w:rPr>
        <w:t>Se, como nesta hipótese semelhante, concluiu-se que o princípio da moralidade administrativa era bastante para orientar a criação e a interpretação de norma restritiva, a solução deste caso deve adotar idênticas premissas, lembrando-se que, com razão, Diógenes Gasparini</w:t>
      </w:r>
      <w:r w:rsidRPr="001A7A68">
        <w:rPr>
          <w:rFonts w:ascii="Tw Cen MT" w:hAnsi="Tw Cen MT"/>
          <w:color w:val="4F81BD"/>
          <w:sz w:val="28"/>
          <w:szCs w:val="28"/>
        </w:rPr>
        <w:t xml:space="preserve"> </w:t>
      </w:r>
      <w:r w:rsidRPr="001A7A68">
        <w:rPr>
          <w:rFonts w:ascii="Tw Cen MT" w:hAnsi="Tw Cen MT"/>
          <w:color w:val="000000"/>
          <w:sz w:val="28"/>
          <w:szCs w:val="28"/>
        </w:rPr>
        <w:t xml:space="preserve">não visualizou a proibição do nepotismo nas matérias da reserva de iniciativa legislativa do Chefe do Poder Executivo (“Nepotismo político”, </w:t>
      </w:r>
      <w:r w:rsidRPr="001A7A68">
        <w:rPr>
          <w:rFonts w:ascii="Tw Cen MT" w:hAnsi="Tw Cen MT"/>
          <w:i/>
          <w:color w:val="000000"/>
          <w:sz w:val="28"/>
          <w:szCs w:val="28"/>
        </w:rPr>
        <w:t>in Corrupção, Ética e Moralidade Administrativa</w:t>
      </w:r>
      <w:r w:rsidRPr="001A7A68">
        <w:rPr>
          <w:rFonts w:ascii="Tw Cen MT" w:hAnsi="Tw Cen MT"/>
          <w:color w:val="000000"/>
          <w:sz w:val="28"/>
          <w:szCs w:val="28"/>
        </w:rPr>
        <w:t>, Belo Horizonte: Editora Fórum, 2008, pp. 73-98).</w:t>
      </w:r>
    </w:p>
    <w:p w14:paraId="37795711" w14:textId="77777777" w:rsidR="001A7A68" w:rsidRPr="001A7A68" w:rsidRDefault="001A7A68" w:rsidP="001A7A68">
      <w:pPr>
        <w:rPr>
          <w:rFonts w:ascii="Tw Cen MT" w:hAnsi="Tw Cen MT"/>
          <w:color w:val="000000"/>
          <w:sz w:val="28"/>
          <w:szCs w:val="28"/>
        </w:rPr>
      </w:pPr>
      <w:r w:rsidRPr="001A7A68">
        <w:rPr>
          <w:rFonts w:ascii="Tw Cen MT" w:hAnsi="Tw Cen MT"/>
          <w:color w:val="000000"/>
          <w:sz w:val="28"/>
          <w:szCs w:val="28"/>
        </w:rPr>
        <w:t xml:space="preserve">E no julgamento da questão o Supremo Tribunal Federal decidiu que: </w:t>
      </w:r>
    </w:p>
    <w:p w14:paraId="450E02D0" w14:textId="77777777" w:rsidR="001A7A68" w:rsidRPr="001A7A68" w:rsidRDefault="001A7A68" w:rsidP="001A7A68">
      <w:pPr>
        <w:ind w:left="2835" w:firstLine="0"/>
        <w:rPr>
          <w:rFonts w:ascii="Tw Cen MT" w:hAnsi="Tw Cen MT"/>
          <w:color w:val="000000"/>
          <w:sz w:val="28"/>
        </w:rPr>
      </w:pPr>
      <w:r w:rsidRPr="001A7A68">
        <w:rPr>
          <w:rFonts w:ascii="Tw Cen MT" w:hAnsi="Tw Cen MT"/>
          <w:i/>
          <w:color w:val="000000"/>
          <w:sz w:val="28"/>
        </w:rPr>
        <w:t xml:space="preserve">“A norma insculpida no § 1º do artigo 61 da Carta Federal, mais precisamente na alínea ‘a’ do inciso II, há que ter alcance perquirido sem apego exacerbado à literalidade. É certo que são da </w:t>
      </w:r>
      <w:r w:rsidRPr="001A7A68">
        <w:rPr>
          <w:rFonts w:ascii="Tw Cen MT" w:hAnsi="Tw Cen MT"/>
          <w:bCs/>
          <w:i/>
          <w:color w:val="000000"/>
          <w:sz w:val="28"/>
        </w:rPr>
        <w:t>iniciativa</w:t>
      </w:r>
      <w:r w:rsidRPr="001A7A68">
        <w:rPr>
          <w:rFonts w:ascii="Tw Cen MT" w:hAnsi="Tw Cen MT"/>
          <w:i/>
          <w:color w:val="000000"/>
          <w:sz w:val="28"/>
        </w:rPr>
        <w:t xml:space="preserve"> privativa do Presidente da República as leis que disponham sobre criação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cargos, funções ou empregos públicos na administração direta e autárquica, ou aumento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sua remuneração (...) Evidentemente, está-se diante </w:t>
      </w:r>
      <w:r w:rsidRPr="001A7A68">
        <w:rPr>
          <w:rFonts w:ascii="Tw Cen MT" w:hAnsi="Tw Cen MT"/>
          <w:bCs/>
          <w:i/>
          <w:color w:val="000000"/>
          <w:sz w:val="28"/>
        </w:rPr>
        <w:t xml:space="preserve">de </w:t>
      </w:r>
      <w:r w:rsidRPr="001A7A68">
        <w:rPr>
          <w:rFonts w:ascii="Tw Cen MT" w:hAnsi="Tw Cen MT"/>
          <w:i/>
          <w:color w:val="000000"/>
          <w:sz w:val="28"/>
        </w:rPr>
        <w:t xml:space="preserve"> preceitos jungidos à atividade normativa ordinária, não alcançando o campo constitucional, porquanto envolvidos aqui  interesses do Estado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envergadura maior e, acima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tudo, da necessidade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se ter, no tocante a certas matérias, trato  abrangente a alcançar, indistintamente, os três Poderes da República. Assim o é quanto ao tema em discussão. Com a Emenda Constitucional nº 12 à Carta do Rio Grande do Sul, rendeu-se homenagem aos princípios da legalidade, da impessoalidade, da moralidade, da isonomia e do concurso público obrigatório, em sua acepção maior. Enfim, atuou-se na preservação da própria </w:t>
      </w:r>
      <w:r w:rsidRPr="001A7A68">
        <w:rPr>
          <w:rFonts w:ascii="Tw Cen MT" w:hAnsi="Tw Cen MT"/>
          <w:i/>
          <w:color w:val="000000"/>
          <w:sz w:val="28"/>
          <w:u w:val="single"/>
        </w:rPr>
        <w:t>res</w:t>
      </w:r>
      <w:r w:rsidRPr="001A7A68">
        <w:rPr>
          <w:rFonts w:ascii="Tw Cen MT" w:hAnsi="Tw Cen MT"/>
          <w:i/>
          <w:color w:val="000000"/>
          <w:sz w:val="28"/>
        </w:rPr>
        <w:t xml:space="preserve"> pública. A vedação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contratação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parentes para cargos comissionados - por sinal a abranger, na espécie, apenas os cônjuges, companheiros e parentes consanguíneos, afins ou por adoção até o segundo grau (pais, filhos e irmãos) - a fim </w:t>
      </w:r>
      <w:r w:rsidRPr="001A7A68">
        <w:rPr>
          <w:rFonts w:ascii="Tw Cen MT" w:hAnsi="Tw Cen MT"/>
          <w:bCs/>
          <w:i/>
          <w:color w:val="000000"/>
          <w:sz w:val="28"/>
        </w:rPr>
        <w:t xml:space="preserve">de </w:t>
      </w:r>
      <w:r w:rsidRPr="001A7A68">
        <w:rPr>
          <w:rFonts w:ascii="Tw Cen MT" w:hAnsi="Tw Cen MT"/>
          <w:i/>
          <w:color w:val="000000"/>
          <w:sz w:val="28"/>
        </w:rPr>
        <w:t xml:space="preserve">prestarem serviços justamente onde o integrante familiar despontou e assumiu cargo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grande prestígio, mostra-se como procedimento inibidor da prática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atos da maior repercussão. Cuida-se, portanto,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matéria que se revela merecedora </w:t>
      </w:r>
      <w:r w:rsidRPr="001A7A68">
        <w:rPr>
          <w:rFonts w:ascii="Tw Cen MT" w:hAnsi="Tw Cen MT"/>
          <w:bCs/>
          <w:i/>
          <w:color w:val="000000"/>
          <w:sz w:val="28"/>
        </w:rPr>
        <w:t xml:space="preserve">de </w:t>
      </w:r>
      <w:r w:rsidRPr="001A7A68">
        <w:rPr>
          <w:rFonts w:ascii="Tw Cen MT" w:hAnsi="Tw Cen MT"/>
          <w:i/>
          <w:color w:val="000000"/>
          <w:sz w:val="28"/>
        </w:rPr>
        <w:t xml:space="preserve">tratamento jurídico único - artigo 39 da Carta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1988, a abranger os três Poderes, o Executivo, o Judiciário e o Legislativo, deixando-se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ter a admissão </w:t>
      </w:r>
      <w:r w:rsidRPr="001A7A68">
        <w:rPr>
          <w:rFonts w:ascii="Tw Cen MT" w:hAnsi="Tw Cen MT"/>
          <w:bCs/>
          <w:i/>
          <w:color w:val="000000"/>
          <w:sz w:val="28"/>
        </w:rPr>
        <w:t>de</w:t>
      </w:r>
      <w:r w:rsidRPr="001A7A68">
        <w:rPr>
          <w:rFonts w:ascii="Tw Cen MT" w:hAnsi="Tw Cen MT"/>
          <w:i/>
          <w:color w:val="000000"/>
          <w:sz w:val="28"/>
        </w:rPr>
        <w:t xml:space="preserve"> servidores públicos conforme a maior ou menor fidelidade do Poder aos princípios básicos decorrentes da Constituição Federal” </w:t>
      </w:r>
      <w:r w:rsidRPr="001A7A68">
        <w:rPr>
          <w:rFonts w:ascii="Tw Cen MT" w:hAnsi="Tw Cen MT"/>
          <w:color w:val="000000"/>
          <w:sz w:val="28"/>
        </w:rPr>
        <w:t xml:space="preserve">(STF, ADI 1.521-RS, Tribunal Pleno, Rel. Min. Marco Aurélio, 12-03-1997, </w:t>
      </w:r>
      <w:proofErr w:type="spellStart"/>
      <w:r w:rsidRPr="001A7A68">
        <w:rPr>
          <w:rFonts w:ascii="Tw Cen MT" w:hAnsi="Tw Cen MT"/>
          <w:color w:val="000000"/>
          <w:sz w:val="28"/>
        </w:rPr>
        <w:t>m.v</w:t>
      </w:r>
      <w:proofErr w:type="spellEnd"/>
      <w:r w:rsidRPr="001A7A68">
        <w:rPr>
          <w:rFonts w:ascii="Tw Cen MT" w:hAnsi="Tw Cen MT"/>
          <w:color w:val="000000"/>
          <w:sz w:val="28"/>
        </w:rPr>
        <w:t xml:space="preserve">., DJ 17-03-2000, p. 02, RTJ 173/424). </w:t>
      </w:r>
    </w:p>
    <w:p w14:paraId="458EC505" w14:textId="77777777" w:rsidR="001A7A68" w:rsidRPr="001A7A68" w:rsidRDefault="001A7A68" w:rsidP="001A7A68">
      <w:pPr>
        <w:rPr>
          <w:rFonts w:ascii="Tw Cen MT" w:hAnsi="Tw Cen MT"/>
          <w:color w:val="000000"/>
          <w:sz w:val="28"/>
          <w:szCs w:val="28"/>
        </w:rPr>
      </w:pPr>
      <w:r w:rsidRPr="001A7A68">
        <w:rPr>
          <w:rFonts w:ascii="Tw Cen MT" w:hAnsi="Tw Cen MT"/>
          <w:color w:val="000000"/>
          <w:sz w:val="28"/>
          <w:szCs w:val="28"/>
        </w:rPr>
        <w:t xml:space="preserve">Esse posicionamento é perfilhado no Supremo Tribunal Federal (STF, RE 183.952-RS, 2ª Turma, Rel. Min. Néri da Silveira, 19-03-2002, </w:t>
      </w:r>
      <w:proofErr w:type="spellStart"/>
      <w:r w:rsidRPr="001A7A68">
        <w:rPr>
          <w:rFonts w:ascii="Tw Cen MT" w:hAnsi="Tw Cen MT"/>
          <w:color w:val="000000"/>
          <w:sz w:val="28"/>
          <w:szCs w:val="28"/>
        </w:rPr>
        <w:t>v.u</w:t>
      </w:r>
      <w:proofErr w:type="spellEnd"/>
      <w:r w:rsidRPr="001A7A68">
        <w:rPr>
          <w:rFonts w:ascii="Tw Cen MT" w:hAnsi="Tw Cen MT"/>
          <w:color w:val="000000"/>
          <w:sz w:val="28"/>
          <w:szCs w:val="28"/>
        </w:rPr>
        <w:t xml:space="preserve">., DJ 24-05-2002, p. 69; STF, RE 372.911-SP, Rel. Min. Gilmar Mendes, 03-04-2007, DJ 08-06-2007, p. 94) e neste egrégio Tribunal de Justiça (TJSP, ADI 71.670-0/1-00, Órgão Especial, Rel. Des. Fortes Barbosa, 17-10-2001; TJSP, ADI 148.788-0/5-00, Órgão Especial, Rel. Des. Ivan Sartori, </w:t>
      </w:r>
      <w:proofErr w:type="spellStart"/>
      <w:r w:rsidRPr="001A7A68">
        <w:rPr>
          <w:rFonts w:ascii="Tw Cen MT" w:hAnsi="Tw Cen MT"/>
          <w:color w:val="000000"/>
          <w:sz w:val="28"/>
          <w:szCs w:val="28"/>
        </w:rPr>
        <w:t>v.u</w:t>
      </w:r>
      <w:proofErr w:type="spellEnd"/>
      <w:r w:rsidRPr="001A7A68">
        <w:rPr>
          <w:rFonts w:ascii="Tw Cen MT" w:hAnsi="Tw Cen MT"/>
          <w:color w:val="000000"/>
          <w:sz w:val="28"/>
          <w:szCs w:val="28"/>
        </w:rPr>
        <w:t>., 19-09-2007).</w:t>
      </w:r>
    </w:p>
    <w:p w14:paraId="11293A65" w14:textId="77777777" w:rsidR="001A7A68" w:rsidRPr="001A7A68" w:rsidRDefault="001A7A68" w:rsidP="001A7A68">
      <w:pPr>
        <w:rPr>
          <w:rFonts w:ascii="Tw Cen MT" w:hAnsi="Tw Cen MT"/>
          <w:color w:val="000000"/>
          <w:sz w:val="28"/>
          <w:szCs w:val="28"/>
        </w:rPr>
      </w:pPr>
      <w:r w:rsidRPr="001A7A68">
        <w:rPr>
          <w:rFonts w:ascii="Tw Cen MT" w:hAnsi="Tw Cen MT"/>
          <w:color w:val="000000"/>
          <w:sz w:val="28"/>
          <w:szCs w:val="28"/>
        </w:rPr>
        <w:t xml:space="preserve">Há que se ponderar, nesta quadra, a diferença entre requisitos para o provimento de cargos públicos - matéria situada na iniciativa legislativa reservada ao Chefe do Poder Executivo (STF, ADI 2.873-PI, Tribunal Pleno, Rel. Min. Ellen Gracie, 20-09-2007, </w:t>
      </w:r>
      <w:proofErr w:type="spellStart"/>
      <w:r w:rsidRPr="001A7A68">
        <w:rPr>
          <w:rFonts w:ascii="Tw Cen MT" w:hAnsi="Tw Cen MT"/>
          <w:color w:val="000000"/>
          <w:sz w:val="28"/>
          <w:szCs w:val="28"/>
        </w:rPr>
        <w:t>m.v</w:t>
      </w:r>
      <w:proofErr w:type="spellEnd"/>
      <w:r w:rsidRPr="001A7A68">
        <w:rPr>
          <w:rFonts w:ascii="Tw Cen MT" w:hAnsi="Tw Cen MT"/>
          <w:color w:val="000000"/>
          <w:sz w:val="28"/>
          <w:szCs w:val="28"/>
        </w:rPr>
        <w:t xml:space="preserve">., </w:t>
      </w:r>
      <w:proofErr w:type="spellStart"/>
      <w:r w:rsidRPr="001A7A68">
        <w:rPr>
          <w:rFonts w:ascii="Tw Cen MT" w:hAnsi="Tw Cen MT"/>
          <w:color w:val="000000"/>
          <w:sz w:val="28"/>
          <w:szCs w:val="28"/>
        </w:rPr>
        <w:t>DJe</w:t>
      </w:r>
      <w:proofErr w:type="spellEnd"/>
      <w:r w:rsidRPr="001A7A68">
        <w:rPr>
          <w:rFonts w:ascii="Tw Cen MT" w:hAnsi="Tw Cen MT"/>
          <w:color w:val="000000"/>
          <w:sz w:val="28"/>
          <w:szCs w:val="28"/>
        </w:rPr>
        <w:t xml:space="preserve"> 09-11-2007, RTJ 203/89) - e condições para o provimento de cargos públicos -</w:t>
      </w:r>
      <w:r w:rsidRPr="001A7A68">
        <w:rPr>
          <w:rFonts w:ascii="Tw Cen MT" w:hAnsi="Tw Cen MT"/>
          <w:color w:val="4F81BD"/>
          <w:sz w:val="28"/>
          <w:szCs w:val="28"/>
        </w:rPr>
        <w:t xml:space="preserve"> </w:t>
      </w:r>
      <w:r w:rsidRPr="001A7A68">
        <w:rPr>
          <w:rFonts w:ascii="Tw Cen MT" w:hAnsi="Tw Cen MT"/>
          <w:color w:val="000000"/>
          <w:sz w:val="28"/>
          <w:szCs w:val="28"/>
        </w:rPr>
        <w:t>que não se insere na aludida reserva, e está no domínio da iniciativa legislativa comum ou concorrente entre Poder Legislativo e Poder Executivo – porque não se refere ao acesso ao cargo público, mas, à aptidão para o seu exercício.</w:t>
      </w:r>
    </w:p>
    <w:p w14:paraId="44BFEFD2" w14:textId="77777777" w:rsidR="001A7A68" w:rsidRPr="001A7A68" w:rsidRDefault="001A7A68" w:rsidP="001A7A68">
      <w:pPr>
        <w:rPr>
          <w:rFonts w:ascii="Tw Cen MT" w:hAnsi="Tw Cen MT"/>
          <w:color w:val="000000"/>
          <w:sz w:val="28"/>
          <w:szCs w:val="28"/>
        </w:rPr>
      </w:pPr>
      <w:r w:rsidRPr="001A7A68">
        <w:rPr>
          <w:rFonts w:ascii="Tw Cen MT" w:hAnsi="Tw Cen MT"/>
          <w:color w:val="000000"/>
          <w:sz w:val="28"/>
          <w:szCs w:val="28"/>
        </w:rPr>
        <w:t>Registre-se que no julgamento da ação direta nº 0301346-30.2011.8.26.000, esse Colendo Órgão Especial rechaçou, em situação análoga, a alegação de inconstitucionalidade:</w:t>
      </w:r>
    </w:p>
    <w:p w14:paraId="12601B8A" w14:textId="77777777" w:rsidR="001A7A68" w:rsidRPr="001A7A68" w:rsidRDefault="001A7A68" w:rsidP="001A7A68">
      <w:pPr>
        <w:ind w:left="2835"/>
        <w:rPr>
          <w:rFonts w:ascii="Tw Cen MT" w:hAnsi="Tw Cen MT"/>
          <w:i/>
          <w:color w:val="000000"/>
          <w:sz w:val="28"/>
          <w:szCs w:val="28"/>
        </w:rPr>
      </w:pPr>
      <w:r w:rsidRPr="001A7A68">
        <w:rPr>
          <w:rFonts w:ascii="Tw Cen MT" w:hAnsi="Tw Cen MT"/>
          <w:i/>
          <w:color w:val="000000"/>
          <w:sz w:val="28"/>
          <w:szCs w:val="28"/>
        </w:rPr>
        <w:t>“AÇÃO DIRETA DE INCONSTITUCIONALIDADE - Lei Municipal n° 3.441, de 30 de setembro de 2011, de Mirassol - Projeto de iniciativa de Vereador – Diploma legislativo que dispõe sobre a nomeação para cargos em comissão no âmbito dos órgãos do Poder Executivo, Poder Legislativo Municipal e Autarquias de Mirassol e dá outras providências – Estabelecimento de restrições à nomeação de pessoa para o exercício de função pública inerente ao cargo em comissão - Restrições semelhantes à estabelecida pela "Lei da Ficha Limpa" (LC n° 135/2010) - Moralidade administrativa que se revela como princípio constitucional da mais alta envergadura - Exigência de honorabilidade para o exercício da função pública que não se insere nas matérias de reserva de iniciativa legislativa do Chefe do Poder Executivo - Ausente o vício de iniciativa - Exonerações de servidores contratados em descompasso com esta lei que não consubstancia aplicação retroativa do diploma legal - Precedentes deste Órgão Especial que cuidaram de situações análogas neste mesmo sentido Lei Municipal reputada constitucional - Ação direta de inconstitucionalidade julgada improcedente, revogada a liminar”.</w:t>
      </w:r>
    </w:p>
    <w:p w14:paraId="323C5796" w14:textId="7E22BDA4" w:rsidR="001A7A68" w:rsidRDefault="00B045BA" w:rsidP="001A7A68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É</w:t>
      </w:r>
      <w:r w:rsidR="001A7A68" w:rsidRPr="001A7A68">
        <w:rPr>
          <w:rFonts w:ascii="Tw Cen MT" w:hAnsi="Tw Cen MT"/>
          <w:sz w:val="28"/>
        </w:rPr>
        <w:t xml:space="preserve"> necessário</w:t>
      </w:r>
      <w:r>
        <w:rPr>
          <w:rFonts w:ascii="Tw Cen MT" w:hAnsi="Tw Cen MT"/>
          <w:sz w:val="28"/>
        </w:rPr>
        <w:t>, também,</w:t>
      </w:r>
      <w:r w:rsidR="001A7A68" w:rsidRPr="001A7A68">
        <w:rPr>
          <w:rFonts w:ascii="Tw Cen MT" w:hAnsi="Tw Cen MT"/>
          <w:sz w:val="28"/>
        </w:rPr>
        <w:t xml:space="preserve"> observar que a própria Constituição Federal conta com regras específicas que condicionam a nomeação para determinados cargos à aprovação prévia dos nomes indicados pelo Senado Federal, permitindo que, por lei, essa necessidade de autorização seja estendida a outros cargos (art. 52, III, </w:t>
      </w:r>
      <w:r w:rsidR="001A7A68" w:rsidRPr="001A7A68">
        <w:rPr>
          <w:rFonts w:ascii="Tw Cen MT" w:hAnsi="Tw Cen MT"/>
          <w:i/>
          <w:sz w:val="28"/>
        </w:rPr>
        <w:t>f</w:t>
      </w:r>
      <w:r w:rsidR="001A7A68" w:rsidRPr="001A7A68">
        <w:rPr>
          <w:rFonts w:ascii="Tw Cen MT" w:hAnsi="Tw Cen MT"/>
          <w:sz w:val="28"/>
        </w:rPr>
        <w:t>,</w:t>
      </w:r>
      <w:r w:rsidR="001A7A68" w:rsidRPr="001A7A68">
        <w:rPr>
          <w:rFonts w:ascii="Tw Cen MT" w:hAnsi="Tw Cen MT"/>
          <w:i/>
          <w:sz w:val="28"/>
        </w:rPr>
        <w:t xml:space="preserve"> </w:t>
      </w:r>
      <w:r w:rsidR="001A7A68" w:rsidRPr="001A7A68">
        <w:rPr>
          <w:rFonts w:ascii="Tw Cen MT" w:hAnsi="Tw Cen MT"/>
          <w:sz w:val="28"/>
        </w:rPr>
        <w:t>da CF).</w:t>
      </w:r>
    </w:p>
    <w:p w14:paraId="15D23045" w14:textId="32D27E67" w:rsidR="00587ED1" w:rsidRPr="001A7A68" w:rsidRDefault="00587ED1" w:rsidP="001A7A68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Nesse contexto, </w:t>
      </w:r>
      <w:r w:rsidR="008F7885">
        <w:rPr>
          <w:rFonts w:ascii="Tw Cen MT" w:hAnsi="Tw Cen MT"/>
          <w:sz w:val="28"/>
        </w:rPr>
        <w:t xml:space="preserve">nota-se que </w:t>
      </w:r>
      <w:bookmarkStart w:id="1" w:name="_Hlk8135367"/>
      <w:r w:rsidR="008F7885">
        <w:rPr>
          <w:rFonts w:ascii="Tw Cen MT" w:hAnsi="Tw Cen MT"/>
          <w:sz w:val="28"/>
        </w:rPr>
        <w:t>o estabelecimento de restrições gerais ao acesso aos cargos, funções e empregos públicos não se trata de p</w:t>
      </w:r>
      <w:r w:rsidR="000302C8">
        <w:rPr>
          <w:rFonts w:ascii="Tw Cen MT" w:hAnsi="Tw Cen MT"/>
          <w:sz w:val="28"/>
        </w:rPr>
        <w:t>rivativa atividade administrativa (ou executiva), mas sim de funções de Estado.</w:t>
      </w:r>
    </w:p>
    <w:bookmarkEnd w:id="1"/>
    <w:p w14:paraId="68943931" w14:textId="07C70328" w:rsidR="001A7A68" w:rsidRDefault="001A7A68" w:rsidP="001A7A68">
      <w:pPr>
        <w:spacing w:after="480"/>
        <w:rPr>
          <w:rFonts w:ascii="Tw Cen MT" w:hAnsi="Tw Cen MT"/>
          <w:b/>
          <w:sz w:val="28"/>
        </w:rPr>
      </w:pPr>
      <w:r w:rsidRPr="001A7A68">
        <w:rPr>
          <w:rFonts w:ascii="Tw Cen MT" w:hAnsi="Tw Cen MT"/>
          <w:sz w:val="28"/>
        </w:rPr>
        <w:t xml:space="preserve">Diante do exposto, </w:t>
      </w:r>
      <w:r w:rsidRPr="001A7A68">
        <w:rPr>
          <w:rFonts w:ascii="Tw Cen MT" w:hAnsi="Tw Cen MT"/>
          <w:b/>
          <w:sz w:val="28"/>
        </w:rPr>
        <w:t>aguarda-se seja julgado improcedente o pedido.</w:t>
      </w:r>
    </w:p>
    <w:p w14:paraId="78D0C868" w14:textId="7A559235" w:rsidR="000A562E" w:rsidRPr="001A7A68" w:rsidRDefault="000A562E" w:rsidP="001A7A68">
      <w:pPr>
        <w:spacing w:after="480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É o parecer.</w:t>
      </w:r>
    </w:p>
    <w:p w14:paraId="1962ECF0" w14:textId="7D2950C9" w:rsidR="001A7A68" w:rsidRPr="001A7A68" w:rsidRDefault="001A7A68" w:rsidP="001A7A68">
      <w:pPr>
        <w:spacing w:after="480"/>
        <w:jc w:val="center"/>
        <w:rPr>
          <w:rFonts w:ascii="Tw Cen MT" w:hAnsi="Tw Cen MT"/>
          <w:sz w:val="28"/>
        </w:rPr>
      </w:pPr>
      <w:r w:rsidRPr="001A7A68">
        <w:rPr>
          <w:rFonts w:ascii="Tw Cen MT" w:hAnsi="Tw Cen MT"/>
          <w:sz w:val="28"/>
        </w:rPr>
        <w:t xml:space="preserve">São Paulo, </w:t>
      </w:r>
      <w:r>
        <w:rPr>
          <w:rFonts w:ascii="Tw Cen MT" w:hAnsi="Tw Cen MT"/>
          <w:sz w:val="28"/>
        </w:rPr>
        <w:t>07</w:t>
      </w:r>
      <w:r w:rsidRPr="001A7A68">
        <w:rPr>
          <w:rFonts w:ascii="Tw Cen MT" w:hAnsi="Tw Cen MT"/>
          <w:sz w:val="28"/>
        </w:rPr>
        <w:t xml:space="preserve"> de </w:t>
      </w:r>
      <w:r w:rsidR="003C5275">
        <w:rPr>
          <w:rFonts w:ascii="Tw Cen MT" w:hAnsi="Tw Cen MT"/>
          <w:sz w:val="28"/>
        </w:rPr>
        <w:t xml:space="preserve">maio </w:t>
      </w:r>
      <w:r w:rsidRPr="001A7A68">
        <w:rPr>
          <w:rFonts w:ascii="Tw Cen MT" w:hAnsi="Tw Cen MT"/>
          <w:sz w:val="28"/>
        </w:rPr>
        <w:t>de 201</w:t>
      </w:r>
      <w:r w:rsidR="003C5275">
        <w:rPr>
          <w:rFonts w:ascii="Tw Cen MT" w:hAnsi="Tw Cen MT"/>
          <w:sz w:val="28"/>
        </w:rPr>
        <w:t>9</w:t>
      </w:r>
      <w:r w:rsidRPr="001A7A68">
        <w:rPr>
          <w:rFonts w:ascii="Tw Cen MT" w:hAnsi="Tw Cen MT"/>
          <w:sz w:val="28"/>
        </w:rPr>
        <w:fldChar w:fldCharType="begin"/>
      </w:r>
      <w:r w:rsidRPr="001A7A68">
        <w:rPr>
          <w:rFonts w:ascii="Tw Cen MT" w:hAnsi="Tw Cen MT"/>
          <w:sz w:val="28"/>
        </w:rPr>
        <w:instrText xml:space="preserve">  </w:instrText>
      </w:r>
      <w:r w:rsidRPr="001A7A68">
        <w:rPr>
          <w:rFonts w:ascii="Tw Cen MT" w:hAnsi="Tw Cen MT"/>
          <w:sz w:val="28"/>
        </w:rPr>
        <w:fldChar w:fldCharType="end"/>
      </w:r>
      <w:r w:rsidRPr="001A7A68">
        <w:rPr>
          <w:rFonts w:ascii="Tw Cen MT" w:hAnsi="Tw Cen MT"/>
          <w:sz w:val="28"/>
        </w:rPr>
        <w:t>.</w:t>
      </w:r>
    </w:p>
    <w:p w14:paraId="6E277857" w14:textId="77777777" w:rsidR="000C7453" w:rsidRPr="000C7453" w:rsidRDefault="000C7453" w:rsidP="000C7453">
      <w:pPr>
        <w:pStyle w:val="6Assinatura"/>
      </w:pPr>
      <w:r w:rsidRPr="000C7453">
        <w:t>Wallace Paiva Martins Junior</w:t>
      </w:r>
    </w:p>
    <w:p w14:paraId="7B4095E4" w14:textId="77777777" w:rsidR="000C7453" w:rsidRPr="000C7453" w:rsidRDefault="000C7453" w:rsidP="000C7453">
      <w:pPr>
        <w:pStyle w:val="6Assinatura"/>
      </w:pPr>
      <w:r w:rsidRPr="000C7453">
        <w:t>Subprocurador-Geral de Justiça</w:t>
      </w:r>
    </w:p>
    <w:p w14:paraId="57B7870C" w14:textId="5A2D708F" w:rsidR="00373399" w:rsidRPr="001A7A68" w:rsidRDefault="000C7453" w:rsidP="000C7453">
      <w:pPr>
        <w:pStyle w:val="6Assinatura"/>
      </w:pPr>
      <w:r w:rsidRPr="000C7453">
        <w:rPr>
          <w:bCs/>
          <w:kern w:val="28"/>
          <w:szCs w:val="28"/>
        </w:rPr>
        <w:t>Jurídico</w:t>
      </w:r>
      <w:r>
        <w:t xml:space="preserve"> </w:t>
      </w:r>
    </w:p>
    <w:p w14:paraId="58255896" w14:textId="55045BB4" w:rsidR="001A7A68" w:rsidRPr="001A7A68" w:rsidRDefault="001A7A68" w:rsidP="001A7A68">
      <w:pPr>
        <w:spacing w:after="0" w:line="240" w:lineRule="auto"/>
        <w:ind w:firstLine="0"/>
        <w:jc w:val="left"/>
        <w:rPr>
          <w:rFonts w:ascii="Tw Cen MT" w:hAnsi="Tw Cen MT"/>
          <w:sz w:val="18"/>
          <w:szCs w:val="18"/>
        </w:rPr>
      </w:pPr>
      <w:r w:rsidRPr="001A7A68">
        <w:rPr>
          <w:rFonts w:ascii="Tw Cen MT" w:hAnsi="Tw Cen MT"/>
          <w:sz w:val="18"/>
          <w:szCs w:val="18"/>
        </w:rPr>
        <w:t>aca</w:t>
      </w:r>
      <w:r>
        <w:rPr>
          <w:rFonts w:ascii="Tw Cen MT" w:hAnsi="Tw Cen MT"/>
          <w:sz w:val="18"/>
          <w:szCs w:val="18"/>
        </w:rPr>
        <w:t>/</w:t>
      </w:r>
      <w:proofErr w:type="spellStart"/>
      <w:r>
        <w:rPr>
          <w:rFonts w:ascii="Tw Cen MT" w:hAnsi="Tw Cen MT"/>
          <w:sz w:val="18"/>
          <w:szCs w:val="18"/>
        </w:rPr>
        <w:t>bacrp</w:t>
      </w:r>
      <w:proofErr w:type="spellEnd"/>
    </w:p>
    <w:p w14:paraId="11C00C2F" w14:textId="77777777" w:rsidR="009F7412" w:rsidRPr="001F5380" w:rsidRDefault="009F7412" w:rsidP="001F5380"/>
    <w:sectPr w:rsidR="009F7412" w:rsidRPr="001F5380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9948A" w14:textId="77777777" w:rsidR="003E207F" w:rsidRDefault="003E207F" w:rsidP="009F7412">
      <w:pPr>
        <w:spacing w:after="0" w:line="240" w:lineRule="auto"/>
      </w:pPr>
      <w:r>
        <w:separator/>
      </w:r>
    </w:p>
  </w:endnote>
  <w:endnote w:type="continuationSeparator" w:id="0">
    <w:p w14:paraId="2060E8D6" w14:textId="77777777" w:rsidR="003E207F" w:rsidRDefault="003E207F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15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5E24DA4" w14:textId="77777777" w:rsidR="00782467" w:rsidRPr="00782467" w:rsidRDefault="00782467">
        <w:pPr>
          <w:pStyle w:val="Rodap"/>
          <w:jc w:val="right"/>
          <w:rPr>
            <w:sz w:val="20"/>
            <w:szCs w:val="20"/>
          </w:rPr>
        </w:pPr>
        <w:r w:rsidRPr="00782467">
          <w:rPr>
            <w:sz w:val="20"/>
            <w:szCs w:val="20"/>
          </w:rPr>
          <w:fldChar w:fldCharType="begin"/>
        </w:r>
        <w:r w:rsidRPr="00782467">
          <w:rPr>
            <w:sz w:val="20"/>
            <w:szCs w:val="20"/>
          </w:rPr>
          <w:instrText>PAGE   \* MERGEFORMAT</w:instrText>
        </w:r>
        <w:r w:rsidRPr="00782467">
          <w:rPr>
            <w:sz w:val="20"/>
            <w:szCs w:val="20"/>
          </w:rPr>
          <w:fldChar w:fldCharType="separate"/>
        </w:r>
        <w:r w:rsidRPr="00782467">
          <w:rPr>
            <w:sz w:val="20"/>
            <w:szCs w:val="20"/>
          </w:rPr>
          <w:t>2</w:t>
        </w:r>
        <w:r w:rsidRPr="00782467">
          <w:rPr>
            <w:sz w:val="20"/>
            <w:szCs w:val="20"/>
          </w:rPr>
          <w:fldChar w:fldCharType="end"/>
        </w:r>
      </w:p>
    </w:sdtContent>
  </w:sdt>
  <w:p w14:paraId="55C94599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9ACD" w14:textId="77777777" w:rsidR="003E207F" w:rsidRDefault="003E207F" w:rsidP="009F7412">
      <w:pPr>
        <w:spacing w:after="0" w:line="240" w:lineRule="auto"/>
      </w:pPr>
      <w:r>
        <w:separator/>
      </w:r>
    </w:p>
  </w:footnote>
  <w:footnote w:type="continuationSeparator" w:id="0">
    <w:p w14:paraId="23E95926" w14:textId="77777777" w:rsidR="003E207F" w:rsidRDefault="003E207F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284"/>
      <w:gridCol w:w="4394"/>
    </w:tblGrid>
    <w:tr w:rsidR="005D2C35" w14:paraId="242A67DA" w14:textId="77777777" w:rsidTr="0032209D">
      <w:tc>
        <w:tcPr>
          <w:tcW w:w="4678" w:type="dxa"/>
          <w:tcBorders>
            <w:right w:val="single" w:sz="12" w:space="0" w:color="C00000"/>
          </w:tcBorders>
          <w:vAlign w:val="center"/>
        </w:tcPr>
        <w:p w14:paraId="2B3B9F76" w14:textId="77777777" w:rsidR="009F7412" w:rsidRDefault="009F7412" w:rsidP="0027383C">
          <w:pPr>
            <w:pStyle w:val="Cabealho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24BF9AE1" wp14:editId="65A57D6E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left w:val="single" w:sz="12" w:space="0" w:color="C00000"/>
          </w:tcBorders>
        </w:tcPr>
        <w:p w14:paraId="29614963" w14:textId="77777777" w:rsidR="009F7412" w:rsidRPr="009F7412" w:rsidRDefault="009F7412" w:rsidP="009F7412">
          <w:pPr>
            <w:pStyle w:val="Cabealho"/>
            <w:rPr>
              <w:sz w:val="28"/>
              <w:szCs w:val="28"/>
            </w:rPr>
          </w:pPr>
        </w:p>
      </w:tc>
      <w:tc>
        <w:tcPr>
          <w:tcW w:w="4394" w:type="dxa"/>
        </w:tcPr>
        <w:p w14:paraId="14491470" w14:textId="77777777" w:rsidR="0032209D" w:rsidRPr="00782467" w:rsidRDefault="0032209D" w:rsidP="0027383C">
          <w:pPr>
            <w:pStyle w:val="Cabealho"/>
            <w:spacing w:line="276" w:lineRule="auto"/>
            <w:ind w:left="280" w:hanging="3"/>
            <w:jc w:val="center"/>
            <w:rPr>
              <w:rFonts w:cs="Arial"/>
              <w:b/>
              <w:sz w:val="21"/>
              <w:szCs w:val="21"/>
            </w:rPr>
          </w:pPr>
          <w:r w:rsidRPr="00782467">
            <w:rPr>
              <w:rFonts w:cs="Arial"/>
              <w:b/>
              <w:sz w:val="21"/>
              <w:szCs w:val="21"/>
            </w:rPr>
            <w:t>PROCURADORIA</w:t>
          </w:r>
          <w:r w:rsidR="00F02204" w:rsidRPr="00782467">
            <w:rPr>
              <w:rFonts w:cs="Arial"/>
              <w:b/>
              <w:sz w:val="21"/>
              <w:szCs w:val="21"/>
            </w:rPr>
            <w:t>-</w:t>
          </w:r>
          <w:r w:rsidRPr="00782467">
            <w:rPr>
              <w:rFonts w:cs="Arial"/>
              <w:b/>
              <w:sz w:val="21"/>
              <w:szCs w:val="21"/>
            </w:rPr>
            <w:t>GERAL DE JUSTIÇA</w:t>
          </w:r>
        </w:p>
        <w:p w14:paraId="52A1CC60" w14:textId="77777777" w:rsidR="009F7412" w:rsidRPr="0032209D" w:rsidRDefault="00D973E9" w:rsidP="0027383C">
          <w:pPr>
            <w:pStyle w:val="Cabealho"/>
            <w:spacing w:line="276" w:lineRule="auto"/>
            <w:ind w:left="280" w:firstLine="3"/>
            <w:jc w:val="center"/>
            <w:rPr>
              <w:rFonts w:cs="Arial"/>
              <w:sz w:val="16"/>
              <w:szCs w:val="16"/>
            </w:rPr>
          </w:pPr>
          <w:r w:rsidRPr="00782467">
            <w:rPr>
              <w:rFonts w:cs="Arial"/>
              <w:b/>
              <w:sz w:val="16"/>
              <w:szCs w:val="16"/>
            </w:rPr>
            <w:t>SUBPROCURADORIA</w:t>
          </w:r>
          <w:r w:rsidR="00F02204" w:rsidRPr="00782467">
            <w:rPr>
              <w:rFonts w:cs="Arial"/>
              <w:b/>
              <w:sz w:val="16"/>
              <w:szCs w:val="16"/>
            </w:rPr>
            <w:t>-</w:t>
          </w:r>
          <w:r w:rsidRPr="00782467">
            <w:rPr>
              <w:rFonts w:cs="Arial"/>
              <w:b/>
              <w:sz w:val="16"/>
              <w:szCs w:val="16"/>
            </w:rPr>
            <w:t>GERAL</w:t>
          </w:r>
          <w:r w:rsidR="003F34C8" w:rsidRPr="00782467">
            <w:rPr>
              <w:rFonts w:cs="Arial"/>
              <w:b/>
              <w:sz w:val="16"/>
              <w:szCs w:val="16"/>
            </w:rPr>
            <w:t xml:space="preserve"> </w:t>
          </w:r>
          <w:r w:rsidRPr="00782467">
            <w:rPr>
              <w:rFonts w:cs="Arial"/>
              <w:b/>
              <w:sz w:val="16"/>
              <w:szCs w:val="16"/>
            </w:rPr>
            <w:t>DE JUSTIÇA JURÍDICA</w:t>
          </w:r>
        </w:p>
      </w:tc>
    </w:tr>
  </w:tbl>
  <w:p w14:paraId="09DEDC08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8C9E10B" wp14:editId="13CB350C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DDFE71" id="Conector reto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45ABDD79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E6E53"/>
    <w:multiLevelType w:val="hybridMultilevel"/>
    <w:tmpl w:val="07BE641C"/>
    <w:lvl w:ilvl="0" w:tplc="12A0E42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02C8"/>
    <w:rsid w:val="00034033"/>
    <w:rsid w:val="00034242"/>
    <w:rsid w:val="00035062"/>
    <w:rsid w:val="000679BA"/>
    <w:rsid w:val="000837CC"/>
    <w:rsid w:val="000A562E"/>
    <w:rsid w:val="000C113C"/>
    <w:rsid w:val="000C7453"/>
    <w:rsid w:val="000D6923"/>
    <w:rsid w:val="000F054D"/>
    <w:rsid w:val="000F4CA0"/>
    <w:rsid w:val="00105706"/>
    <w:rsid w:val="00117566"/>
    <w:rsid w:val="00146D88"/>
    <w:rsid w:val="00187F4E"/>
    <w:rsid w:val="00192F16"/>
    <w:rsid w:val="001A7A68"/>
    <w:rsid w:val="001C0209"/>
    <w:rsid w:val="001F3826"/>
    <w:rsid w:val="001F5380"/>
    <w:rsid w:val="002174B9"/>
    <w:rsid w:val="00217FA0"/>
    <w:rsid w:val="00243797"/>
    <w:rsid w:val="00243C57"/>
    <w:rsid w:val="00252A17"/>
    <w:rsid w:val="0027383C"/>
    <w:rsid w:val="002C46DC"/>
    <w:rsid w:val="002D18D5"/>
    <w:rsid w:val="0032209D"/>
    <w:rsid w:val="00331B2A"/>
    <w:rsid w:val="003633C7"/>
    <w:rsid w:val="00373399"/>
    <w:rsid w:val="00375B39"/>
    <w:rsid w:val="00380FB9"/>
    <w:rsid w:val="003960FD"/>
    <w:rsid w:val="003C5275"/>
    <w:rsid w:val="003E207F"/>
    <w:rsid w:val="003F34C8"/>
    <w:rsid w:val="00405B53"/>
    <w:rsid w:val="004428A8"/>
    <w:rsid w:val="004527A6"/>
    <w:rsid w:val="00470FDC"/>
    <w:rsid w:val="004A2041"/>
    <w:rsid w:val="004D1F7D"/>
    <w:rsid w:val="004D353C"/>
    <w:rsid w:val="0050657A"/>
    <w:rsid w:val="00520639"/>
    <w:rsid w:val="00556D0A"/>
    <w:rsid w:val="00587ED1"/>
    <w:rsid w:val="00596F73"/>
    <w:rsid w:val="005D2C35"/>
    <w:rsid w:val="005F2690"/>
    <w:rsid w:val="005F6225"/>
    <w:rsid w:val="00623913"/>
    <w:rsid w:val="006350DB"/>
    <w:rsid w:val="00677836"/>
    <w:rsid w:val="00683035"/>
    <w:rsid w:val="006C211A"/>
    <w:rsid w:val="0071019E"/>
    <w:rsid w:val="00782467"/>
    <w:rsid w:val="007A7CD2"/>
    <w:rsid w:val="007B0DC6"/>
    <w:rsid w:val="0080767F"/>
    <w:rsid w:val="00810FB5"/>
    <w:rsid w:val="00870895"/>
    <w:rsid w:val="008A333A"/>
    <w:rsid w:val="008C70E8"/>
    <w:rsid w:val="008E4E50"/>
    <w:rsid w:val="008F7885"/>
    <w:rsid w:val="00907E10"/>
    <w:rsid w:val="00916973"/>
    <w:rsid w:val="009601E3"/>
    <w:rsid w:val="009C3417"/>
    <w:rsid w:val="009C59DD"/>
    <w:rsid w:val="009D564D"/>
    <w:rsid w:val="009F7412"/>
    <w:rsid w:val="00A0796F"/>
    <w:rsid w:val="00A53C01"/>
    <w:rsid w:val="00AA17F4"/>
    <w:rsid w:val="00AA6E93"/>
    <w:rsid w:val="00AE5461"/>
    <w:rsid w:val="00B045BA"/>
    <w:rsid w:val="00B070C7"/>
    <w:rsid w:val="00B147B5"/>
    <w:rsid w:val="00B1667A"/>
    <w:rsid w:val="00B3077E"/>
    <w:rsid w:val="00BA009D"/>
    <w:rsid w:val="00BA7D2F"/>
    <w:rsid w:val="00BB434B"/>
    <w:rsid w:val="00C325CB"/>
    <w:rsid w:val="00C67843"/>
    <w:rsid w:val="00C954B0"/>
    <w:rsid w:val="00CC103A"/>
    <w:rsid w:val="00CC2065"/>
    <w:rsid w:val="00D973E9"/>
    <w:rsid w:val="00DA7575"/>
    <w:rsid w:val="00DD18C7"/>
    <w:rsid w:val="00DE3D77"/>
    <w:rsid w:val="00E81210"/>
    <w:rsid w:val="00EA0A87"/>
    <w:rsid w:val="00EC69C4"/>
    <w:rsid w:val="00ED030D"/>
    <w:rsid w:val="00F02204"/>
    <w:rsid w:val="00F2629A"/>
    <w:rsid w:val="00F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04A45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2C8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tuloouEndereamento">
    <w:name w:val="1.Título ou Endereçamento"/>
    <w:link w:val="1TtuloouEndereamentoChar"/>
    <w:qFormat/>
    <w:rsid w:val="00916973"/>
    <w:pPr>
      <w:spacing w:after="0" w:line="240" w:lineRule="auto"/>
      <w:jc w:val="center"/>
    </w:pPr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character" w:customStyle="1" w:styleId="1TtuloouEndereamentoChar">
    <w:name w:val="1.Título ou Endereçamento Char"/>
    <w:link w:val="1TtuloouEndereamento"/>
    <w:rsid w:val="00916973"/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paragraph" w:customStyle="1" w:styleId="2Identificao">
    <w:name w:val="2.Identificação"/>
    <w:basedOn w:val="Normal"/>
    <w:link w:val="2IdentificaoChar"/>
    <w:qFormat/>
    <w:rsid w:val="00FA2E36"/>
    <w:pPr>
      <w:spacing w:after="0"/>
      <w:ind w:firstLine="0"/>
    </w:pPr>
    <w:rPr>
      <w:rFonts w:ascii="Tw Cen MT" w:hAnsi="Tw Cen MT"/>
      <w:bCs/>
      <w:kern w:val="28"/>
      <w:szCs w:val="28"/>
    </w:rPr>
  </w:style>
  <w:style w:type="character" w:customStyle="1" w:styleId="2IdentificaoChar">
    <w:name w:val="2.Identificação Char"/>
    <w:link w:val="2Identificao"/>
    <w:rsid w:val="00FA2E36"/>
    <w:rPr>
      <w:rFonts w:ascii="Tw Cen MT" w:eastAsia="Times New Roman" w:hAnsi="Tw Cen MT" w:cs="Times New Roman"/>
      <w:bCs/>
      <w:kern w:val="28"/>
      <w:sz w:val="24"/>
      <w:szCs w:val="28"/>
      <w:lang w:eastAsia="pt-BR"/>
    </w:rPr>
  </w:style>
  <w:style w:type="paragraph" w:customStyle="1" w:styleId="3Ementa1">
    <w:name w:val="3.Ementa 1"/>
    <w:basedOn w:val="Normal"/>
    <w:link w:val="3Ementa1Char"/>
    <w:qFormat/>
    <w:rsid w:val="00FA2E36"/>
    <w:pPr>
      <w:spacing w:after="120"/>
      <w:ind w:left="2835" w:firstLine="0"/>
    </w:pPr>
    <w:rPr>
      <w:rFonts w:ascii="Tw Cen MT" w:hAnsi="Tw Cen MT"/>
      <w:b/>
      <w:smallCaps/>
      <w:kern w:val="28"/>
    </w:rPr>
  </w:style>
  <w:style w:type="character" w:customStyle="1" w:styleId="3Ementa1Char">
    <w:name w:val="3.Ementa 1 Char"/>
    <w:link w:val="3Ementa1"/>
    <w:rsid w:val="00FA2E36"/>
    <w:rPr>
      <w:rFonts w:ascii="Tw Cen MT" w:eastAsia="Times New Roman" w:hAnsi="Tw Cen MT" w:cs="Times New Roman"/>
      <w:b/>
      <w:smallCaps/>
      <w:kern w:val="28"/>
      <w:sz w:val="24"/>
      <w:szCs w:val="24"/>
      <w:lang w:eastAsia="pt-BR"/>
    </w:rPr>
  </w:style>
  <w:style w:type="paragraph" w:customStyle="1" w:styleId="3Ementa2">
    <w:name w:val="3.Ementa 2"/>
    <w:basedOn w:val="Normal"/>
    <w:link w:val="3Ementa2Char"/>
    <w:qFormat/>
    <w:rsid w:val="00FA2E36"/>
    <w:pPr>
      <w:spacing w:after="120"/>
      <w:ind w:left="2835" w:firstLine="0"/>
    </w:pPr>
    <w:rPr>
      <w:rFonts w:ascii="Tw Cen MT" w:hAnsi="Tw Cen MT"/>
      <w:kern w:val="28"/>
    </w:rPr>
  </w:style>
  <w:style w:type="character" w:customStyle="1" w:styleId="3Ementa2Char">
    <w:name w:val="3.Ementa 2 Char"/>
    <w:link w:val="3Ementa2"/>
    <w:rsid w:val="00FA2E36"/>
    <w:rPr>
      <w:rFonts w:ascii="Tw Cen MT" w:eastAsia="Times New Roman" w:hAnsi="Tw Cen MT" w:cs="Times New Roman"/>
      <w:kern w:val="28"/>
      <w:sz w:val="24"/>
      <w:szCs w:val="24"/>
      <w:lang w:eastAsia="pt-BR"/>
    </w:rPr>
  </w:style>
  <w:style w:type="paragraph" w:customStyle="1" w:styleId="4Corpo">
    <w:name w:val="4.Corpo"/>
    <w:basedOn w:val="Normal"/>
    <w:link w:val="4CorpoChar"/>
    <w:qFormat/>
    <w:rsid w:val="00916973"/>
    <w:pPr>
      <w:spacing w:after="120"/>
    </w:pPr>
    <w:rPr>
      <w:rFonts w:ascii="Tw Cen MT" w:hAnsi="Tw Cen MT"/>
      <w:bCs/>
      <w:kern w:val="28"/>
      <w:sz w:val="28"/>
      <w:szCs w:val="28"/>
    </w:rPr>
  </w:style>
  <w:style w:type="character" w:customStyle="1" w:styleId="4CorpoChar">
    <w:name w:val="4.Corpo Char"/>
    <w:link w:val="4Corpo"/>
    <w:rsid w:val="00916973"/>
    <w:rPr>
      <w:rFonts w:ascii="Tw Cen MT" w:eastAsia="Times New Roman" w:hAnsi="Tw Cen MT" w:cs="Times New Roman"/>
      <w:bCs/>
      <w:kern w:val="28"/>
      <w:sz w:val="28"/>
      <w:szCs w:val="28"/>
      <w:lang w:eastAsia="pt-BR"/>
    </w:rPr>
  </w:style>
  <w:style w:type="paragraph" w:customStyle="1" w:styleId="5Citao">
    <w:name w:val="5.Citação"/>
    <w:basedOn w:val="Normal"/>
    <w:link w:val="5CitaoChar"/>
    <w:qFormat/>
    <w:rsid w:val="00FA2E36"/>
    <w:pPr>
      <w:spacing w:after="120"/>
      <w:ind w:left="2835" w:firstLine="0"/>
    </w:pPr>
    <w:rPr>
      <w:rFonts w:ascii="Tw Cen MT" w:hAnsi="Tw Cen MT"/>
      <w:bCs/>
      <w:kern w:val="28"/>
      <w:sz w:val="26"/>
      <w:szCs w:val="26"/>
    </w:rPr>
  </w:style>
  <w:style w:type="character" w:customStyle="1" w:styleId="5CitaoChar">
    <w:name w:val="5.Citação Char"/>
    <w:link w:val="5Citao"/>
    <w:rsid w:val="00FA2E36"/>
    <w:rPr>
      <w:rFonts w:ascii="Tw Cen MT" w:eastAsia="Times New Roman" w:hAnsi="Tw Cen MT" w:cs="Times New Roman"/>
      <w:bCs/>
      <w:kern w:val="28"/>
      <w:sz w:val="26"/>
      <w:szCs w:val="26"/>
      <w:lang w:eastAsia="pt-BR"/>
    </w:rPr>
  </w:style>
  <w:style w:type="paragraph" w:customStyle="1" w:styleId="6Assinatura">
    <w:name w:val="6.Assinatura"/>
    <w:qFormat/>
    <w:rsid w:val="00916973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7IniciaisAssessor">
    <w:name w:val="7.Iniciais Assessor"/>
    <w:basedOn w:val="Normal"/>
    <w:link w:val="7IniciaisAssessorChar"/>
    <w:qFormat/>
    <w:rsid w:val="00FA2E36"/>
    <w:pPr>
      <w:spacing w:after="0" w:line="240" w:lineRule="auto"/>
      <w:ind w:firstLine="0"/>
    </w:pPr>
    <w:rPr>
      <w:rFonts w:ascii="Tw Cen MT" w:hAnsi="Tw Cen MT" w:cs="Tahoma"/>
      <w:kern w:val="28"/>
      <w:sz w:val="18"/>
      <w:szCs w:val="18"/>
    </w:rPr>
  </w:style>
  <w:style w:type="character" w:customStyle="1" w:styleId="7IniciaisAssessorChar">
    <w:name w:val="7.Iniciais Assessor Char"/>
    <w:link w:val="7IniciaisAssessor"/>
    <w:rsid w:val="00FA2E36"/>
    <w:rPr>
      <w:rFonts w:ascii="Tw Cen MT" w:eastAsia="Times New Roman" w:hAnsi="Tw Cen MT" w:cs="Tahoma"/>
      <w:kern w:val="28"/>
      <w:sz w:val="18"/>
      <w:szCs w:val="18"/>
      <w:lang w:eastAsia="pt-BR"/>
    </w:rPr>
  </w:style>
  <w:style w:type="paragraph" w:customStyle="1" w:styleId="8Notasderodap">
    <w:name w:val="8.Notas de rodapé"/>
    <w:basedOn w:val="7IniciaisAssessor"/>
    <w:link w:val="8NotasderodapChar"/>
    <w:qFormat/>
    <w:rsid w:val="00916973"/>
  </w:style>
  <w:style w:type="character" w:customStyle="1" w:styleId="8NotasderodapChar">
    <w:name w:val="8.Notas de rodapé Char"/>
    <w:link w:val="8Notasderodap"/>
    <w:rsid w:val="00916973"/>
    <w:rPr>
      <w:rFonts w:ascii="Tw Cen MT" w:eastAsia="Times New Roman" w:hAnsi="Tw Cen MT" w:cs="Tahoma"/>
      <w:kern w:val="28"/>
      <w:sz w:val="18"/>
      <w:szCs w:val="18"/>
      <w:lang w:eastAsia="pt-BR"/>
    </w:rPr>
  </w:style>
  <w:style w:type="paragraph" w:customStyle="1" w:styleId="9Rodap">
    <w:name w:val="9.Rodapé"/>
    <w:basedOn w:val="Rodap"/>
    <w:rsid w:val="00916973"/>
    <w:pPr>
      <w:tabs>
        <w:tab w:val="clear" w:pos="4252"/>
        <w:tab w:val="clear" w:pos="8504"/>
      </w:tabs>
      <w:jc w:val="right"/>
    </w:pPr>
    <w:rPr>
      <w:rFonts w:ascii="Tw Cen MT" w:hAnsi="Tw Cen MT"/>
      <w:kern w:val="28"/>
      <w:sz w:val="28"/>
    </w:rPr>
  </w:style>
  <w:style w:type="paragraph" w:customStyle="1" w:styleId="Assinatura1">
    <w:name w:val="Assinatura1"/>
    <w:rsid w:val="00BA009D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Identificaodapea">
    <w:name w:val="Identificação da peça"/>
    <w:rsid w:val="00BA009D"/>
    <w:pPr>
      <w:spacing w:after="120" w:line="240" w:lineRule="auto"/>
      <w:jc w:val="both"/>
    </w:pPr>
    <w:rPr>
      <w:rFonts w:ascii="Tw Cen MT" w:eastAsia="Times New Roman" w:hAnsi="Tw Cen MT" w:cs="Times New Roman"/>
      <w:sz w:val="24"/>
      <w:szCs w:val="24"/>
      <w:lang w:eastAsia="pt-BR"/>
    </w:rPr>
  </w:style>
  <w:style w:type="paragraph" w:customStyle="1" w:styleId="Tipodepea">
    <w:name w:val="Tipo de peça"/>
    <w:link w:val="TipodepeaChar"/>
    <w:rsid w:val="00BA009D"/>
    <w:pPr>
      <w:spacing w:after="0" w:line="240" w:lineRule="auto"/>
      <w:jc w:val="center"/>
    </w:pPr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paragraph" w:customStyle="1" w:styleId="Iniciaisdoassessor">
    <w:name w:val="Iniciais do assessor"/>
    <w:rsid w:val="00BA009D"/>
    <w:pPr>
      <w:spacing w:after="0" w:line="240" w:lineRule="auto"/>
    </w:pPr>
    <w:rPr>
      <w:rFonts w:ascii="Tw Cen MT" w:eastAsia="Times New Roman" w:hAnsi="Tw Cen MT" w:cs="Times New Roman"/>
      <w:sz w:val="18"/>
      <w:szCs w:val="18"/>
      <w:lang w:eastAsia="pt-BR"/>
    </w:rPr>
  </w:style>
  <w:style w:type="paragraph" w:styleId="Textodenotaderodap">
    <w:name w:val="footnote text"/>
    <w:link w:val="TextodenotaderodapChar"/>
    <w:semiHidden/>
    <w:rsid w:val="00BA009D"/>
    <w:pPr>
      <w:spacing w:after="120" w:line="240" w:lineRule="auto"/>
      <w:jc w:val="both"/>
    </w:pPr>
    <w:rPr>
      <w:rFonts w:ascii="Tw Cen MT" w:eastAsia="Times New Roman" w:hAnsi="Tw Cen MT" w:cs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009D"/>
    <w:rPr>
      <w:rFonts w:ascii="Tw Cen MT" w:eastAsia="Times New Roman" w:hAnsi="Tw Cen MT" w:cs="Times New Roman"/>
      <w:lang w:eastAsia="pt-BR"/>
    </w:rPr>
  </w:style>
  <w:style w:type="paragraph" w:customStyle="1" w:styleId="Corpodapea">
    <w:name w:val="Corpo da peça"/>
    <w:link w:val="CorpodapeaChar"/>
    <w:rsid w:val="00BA009D"/>
    <w:pPr>
      <w:spacing w:after="240" w:line="360" w:lineRule="auto"/>
      <w:ind w:firstLine="709"/>
      <w:jc w:val="both"/>
    </w:pPr>
    <w:rPr>
      <w:rFonts w:ascii="Tw Cen MT" w:eastAsia="Times New Roman" w:hAnsi="Tw Cen MT" w:cs="Times New Roman"/>
      <w:sz w:val="28"/>
      <w:szCs w:val="24"/>
      <w:lang w:eastAsia="pt-BR"/>
    </w:rPr>
  </w:style>
  <w:style w:type="character" w:customStyle="1" w:styleId="TipodepeaChar">
    <w:name w:val="Tipo de peça Char"/>
    <w:link w:val="Tipodepea"/>
    <w:rsid w:val="00BA009D"/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character" w:customStyle="1" w:styleId="CorpodapeaChar">
    <w:name w:val="Corpo da peça Char"/>
    <w:link w:val="Corpodapea"/>
    <w:locked/>
    <w:rsid w:val="00BA009D"/>
    <w:rPr>
      <w:rFonts w:ascii="Tw Cen MT" w:eastAsia="Times New Roman" w:hAnsi="Tw Cen MT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D8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A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3A60EF4EC4E48A77FD608DF17A88D" ma:contentTypeVersion="10" ma:contentTypeDescription="Crie um novo documento." ma:contentTypeScope="" ma:versionID="fc0947fd95c3ae8de34ec74f25670232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f52d1ffb0da1a63f3c41c27136378ad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217BE-CE6E-4427-AD34-416FF722D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Silmara Regina Santiago</cp:lastModifiedBy>
  <cp:revision>2</cp:revision>
  <cp:lastPrinted>2019-05-09T14:57:00Z</cp:lastPrinted>
  <dcterms:created xsi:type="dcterms:W3CDTF">2019-05-13T17:15:00Z</dcterms:created>
  <dcterms:modified xsi:type="dcterms:W3CDTF">2019-05-13T17:15:00Z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