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95" w:type="pct"/>
        <w:jc w:val="center"/>
        <w:tblCellSpacing w:w="0" w:type="dxa"/>
        <w:tblInd w:w="-379" w:type="dxa"/>
        <w:tblCellMar>
          <w:left w:w="0" w:type="dxa"/>
          <w:right w:w="0" w:type="dxa"/>
        </w:tblCellMar>
        <w:tblLook w:val="04A0"/>
      </w:tblPr>
      <w:tblGrid>
        <w:gridCol w:w="57"/>
        <w:gridCol w:w="20"/>
        <w:gridCol w:w="11310"/>
      </w:tblGrid>
      <w:tr w:rsidR="00BC4374" w:rsidRPr="00BC4374" w:rsidTr="00DE447F">
        <w:trPr>
          <w:tblCellSpacing w:w="0" w:type="dxa"/>
          <w:jc w:val="center"/>
        </w:trPr>
        <w:tc>
          <w:tcPr>
            <w:tcW w:w="57" w:type="dxa"/>
            <w:shd w:val="clear" w:color="auto" w:fill="FFFFFF"/>
            <w:hideMark/>
          </w:tcPr>
          <w:p w:rsidR="00BC4374" w:rsidRPr="00BC4374" w:rsidRDefault="00BC4374" w:rsidP="00BC4374">
            <w:pPr>
              <w:tabs>
                <w:tab w:val="left" w:pos="815"/>
              </w:tabs>
              <w:spacing w:after="0" w:line="240" w:lineRule="auto"/>
              <w:ind w:right="980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FFFFFF"/>
            <w:hideMark/>
          </w:tcPr>
          <w:p w:rsidR="00BC4374" w:rsidRPr="00BC4374" w:rsidRDefault="00BC4374" w:rsidP="00BC437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  <w:tc>
          <w:tcPr>
            <w:tcW w:w="11310" w:type="dxa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4374" w:rsidRPr="00BC4374" w:rsidRDefault="00BC4374" w:rsidP="00BC4374">
            <w:pPr>
              <w:spacing w:after="0" w:line="240" w:lineRule="auto"/>
              <w:ind w:right="-2234"/>
              <w:jc w:val="both"/>
              <w:rPr>
                <w:rFonts w:ascii="Tw Cen MT" w:eastAsia="Times New Roman" w:hAnsi="Tw Cen MT" w:cs="Times New Roman"/>
                <w:sz w:val="28"/>
                <w:szCs w:val="28"/>
              </w:rPr>
            </w:pPr>
            <w:r w:rsidRPr="00BC4374">
              <w:rPr>
                <w:rFonts w:ascii="Tw Cen MT" w:eastAsia="Times New Roman" w:hAnsi="Tw Cen MT" w:cs="Times New Roman"/>
                <w:sz w:val="28"/>
                <w:szCs w:val="28"/>
              </w:rPr>
              <w:t xml:space="preserve">Despacho </w:t>
            </w:r>
            <w:r w:rsidRPr="00BC4374">
              <w:rPr>
                <w:rFonts w:ascii="Tw Cen MT" w:eastAsia="Times New Roman" w:hAnsi="Tw Cen MT" w:cs="Times New Roman"/>
                <w:sz w:val="28"/>
                <w:szCs w:val="28"/>
              </w:rPr>
              <w:br/>
            </w:r>
            <w:r w:rsidRPr="00BC4374">
              <w:rPr>
                <w:rFonts w:ascii="Tw Cen MT" w:eastAsia="Times New Roman" w:hAnsi="Tw Cen MT" w:cs="Times New Roman"/>
                <w:i/>
                <w:iCs/>
                <w:sz w:val="28"/>
                <w:szCs w:val="28"/>
              </w:rPr>
              <w:t xml:space="preserve">Vistos, O autor demonstrou a plausibilidade da tese defendida e que a manutenção da norma hostilizada acarretará perigo de lesão irreparável ou de difícil reparação. É que, em tese, tal norma afronta os </w:t>
            </w:r>
            <w:proofErr w:type="spellStart"/>
            <w:r w:rsidRPr="00BC4374">
              <w:rPr>
                <w:rFonts w:ascii="Tw Cen MT" w:eastAsia="Times New Roman" w:hAnsi="Tw Cen MT" w:cs="Times New Roman"/>
                <w:i/>
                <w:iCs/>
                <w:sz w:val="28"/>
                <w:szCs w:val="28"/>
              </w:rPr>
              <w:t>arts</w:t>
            </w:r>
            <w:proofErr w:type="spellEnd"/>
            <w:r w:rsidRPr="00BC4374">
              <w:rPr>
                <w:rFonts w:ascii="Tw Cen MT" w:eastAsia="Times New Roman" w:hAnsi="Tw Cen MT" w:cs="Times New Roman"/>
                <w:i/>
                <w:iCs/>
                <w:sz w:val="28"/>
                <w:szCs w:val="28"/>
              </w:rPr>
              <w:t xml:space="preserve">. 111 e 115, </w:t>
            </w:r>
            <w:proofErr w:type="gramStart"/>
            <w:r w:rsidRPr="00BC4374">
              <w:rPr>
                <w:rFonts w:ascii="Tw Cen MT" w:eastAsia="Times New Roman" w:hAnsi="Tw Cen MT" w:cs="Times New Roman"/>
                <w:i/>
                <w:iCs/>
                <w:sz w:val="28"/>
                <w:szCs w:val="28"/>
              </w:rPr>
              <w:t>inciso</w:t>
            </w:r>
            <w:proofErr w:type="gramEnd"/>
            <w:r w:rsidRPr="00BC4374">
              <w:rPr>
                <w:rFonts w:ascii="Tw Cen MT" w:eastAsia="Times New Roman" w:hAnsi="Tw Cen MT" w:cs="Times New Roman"/>
                <w:i/>
                <w:iCs/>
                <w:sz w:val="28"/>
                <w:szCs w:val="28"/>
              </w:rPr>
              <w:t xml:space="preserve"> V, da Constituição Paulista, de observância obrigatória pelos municípios. Assim, concedo a liminar para suspender, </w:t>
            </w:r>
            <w:proofErr w:type="gramStart"/>
            <w:r w:rsidRPr="00BC4374">
              <w:rPr>
                <w:rFonts w:ascii="Tw Cen MT" w:eastAsia="Times New Roman" w:hAnsi="Tw Cen MT" w:cs="Times New Roman"/>
                <w:i/>
                <w:iCs/>
                <w:sz w:val="28"/>
                <w:szCs w:val="28"/>
              </w:rPr>
              <w:t>com efeito</w:t>
            </w:r>
            <w:proofErr w:type="gramEnd"/>
            <w:r w:rsidRPr="00BC4374">
              <w:rPr>
                <w:rFonts w:ascii="Tw Cen MT" w:eastAsia="Times New Roman" w:hAnsi="Tw Cen MT" w:cs="Times New Roman"/>
                <w:i/>
                <w:iCs/>
                <w:sz w:val="28"/>
                <w:szCs w:val="28"/>
              </w:rPr>
              <w:t xml:space="preserve"> ex </w:t>
            </w:r>
            <w:proofErr w:type="spellStart"/>
            <w:r w:rsidRPr="00BC4374">
              <w:rPr>
                <w:rFonts w:ascii="Tw Cen MT" w:eastAsia="Times New Roman" w:hAnsi="Tw Cen MT" w:cs="Times New Roman"/>
                <w:i/>
                <w:iCs/>
                <w:sz w:val="28"/>
                <w:szCs w:val="28"/>
              </w:rPr>
              <w:t>nunc</w:t>
            </w:r>
            <w:proofErr w:type="spellEnd"/>
            <w:r w:rsidRPr="00BC4374">
              <w:rPr>
                <w:rFonts w:ascii="Tw Cen MT" w:eastAsia="Times New Roman" w:hAnsi="Tw Cen MT" w:cs="Times New Roman"/>
                <w:i/>
                <w:iCs/>
                <w:sz w:val="28"/>
                <w:szCs w:val="28"/>
              </w:rPr>
              <w:t xml:space="preserve">, a vigência e a eficácia do parágrafo único do art. 1º e das expressões "Assessor de Gabinete Nível I; Assessor de Gabinete Nível II; Chefe de Gabinete Nível IV; Diretor de Departamento Nível I; Diretor de Departamento Nível II; e Diretor de Departamento Nível III", todas elas identificadoras dos cargos de provimento em comissão impugnados, da Lei nº 4.660/2011, do Município de Garça, que "dispõe sobre a estrutura administrativa da Prefeitura Municipal de Garça e dá outras providências". Comunique-se. I. </w:t>
            </w:r>
            <w:r>
              <w:rPr>
                <w:rFonts w:ascii="Tw Cen MT" w:eastAsia="Times New Roman" w:hAnsi="Tw Cen MT" w:cs="Times New Roman"/>
                <w:i/>
                <w:iCs/>
                <w:sz w:val="28"/>
                <w:szCs w:val="28"/>
              </w:rPr>
              <w:t>– 19-08-2011</w:t>
            </w:r>
          </w:p>
        </w:tc>
      </w:tr>
    </w:tbl>
    <w:p w:rsidR="00EE33EC" w:rsidRDefault="00EE33EC"/>
    <w:sectPr w:rsidR="00EE33EC" w:rsidSect="00C02F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C4374"/>
    <w:rsid w:val="00BC4374"/>
    <w:rsid w:val="00C02F69"/>
    <w:rsid w:val="00DE447F"/>
    <w:rsid w:val="00EE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F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758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2011-08-23T20:54:00Z</dcterms:created>
  <dcterms:modified xsi:type="dcterms:W3CDTF">2011-08-23T21:01:00Z</dcterms:modified>
</cp:coreProperties>
</file>