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B76F9F">
        <w:rPr>
          <w:sz w:val="32"/>
          <w:szCs w:val="32"/>
        </w:rPr>
        <w:t>4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CD7C74">
        <w:rPr>
          <w:sz w:val="32"/>
          <w:szCs w:val="32"/>
        </w:rPr>
        <w:t>013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1676A" w:rsidRDefault="0001676A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BC1F54">
        <w:t>quarto</w:t>
      </w:r>
      <w:r w:rsidR="002C4B10">
        <w:t xml:space="preserve"> trimestre de 2</w:t>
      </w:r>
      <w:r w:rsidR="00F06532">
        <w:t>.</w:t>
      </w:r>
      <w:r>
        <w:t>01</w:t>
      </w:r>
      <w:r w:rsidR="007406B8">
        <w:t>3</w:t>
      </w:r>
      <w:r>
        <w:t>.</w:t>
      </w:r>
    </w:p>
    <w:p w:rsidR="002877E2" w:rsidRDefault="00BC1F54" w:rsidP="00BF60F2">
      <w:pPr>
        <w:ind w:firstLine="709"/>
        <w:jc w:val="both"/>
      </w:pPr>
      <w:r>
        <w:t>N</w:t>
      </w:r>
      <w:r w:rsidR="00E43633">
        <w:t xml:space="preserve">os dias 29 e 30 de </w:t>
      </w:r>
      <w:r>
        <w:t>outubro</w:t>
      </w:r>
      <w:r w:rsidR="00E43633">
        <w:t xml:space="preserve"> de 2.013, participamos </w:t>
      </w:r>
      <w:r w:rsidR="00BF60F2">
        <w:t xml:space="preserve">da </w:t>
      </w:r>
      <w:r w:rsidR="00DF73EC">
        <w:t>1</w:t>
      </w:r>
      <w:r>
        <w:t>9</w:t>
      </w:r>
      <w:r w:rsidR="00DF73EC">
        <w:t>ª</w:t>
      </w:r>
      <w:r w:rsidR="00BF60F2">
        <w:t xml:space="preserve"> Reunião Ordinária do Conselho Nacional dos Ouvidores do Ministério Público (CNOMP), realizada </w:t>
      </w:r>
      <w:r w:rsidR="003D0737">
        <w:t xml:space="preserve">em </w:t>
      </w:r>
      <w:r>
        <w:t>Natal</w:t>
      </w:r>
      <w:r w:rsidR="00BF60F2">
        <w:t xml:space="preserve">, capital do Estado </w:t>
      </w:r>
      <w:r>
        <w:t>do Rio Grande do Norte</w:t>
      </w:r>
      <w:r w:rsidR="00BF60F2">
        <w:t>.</w:t>
      </w:r>
      <w:r>
        <w:t xml:space="preserve"> Na sequência participamos do XX Congresso Nacional do Ministério Público, que se desenrolou de 30 de outubro a 2 de novembro de 2.013. Todas as reuniões e o próprio congresso foram realizados no Centro de Convenções de Natal.</w:t>
      </w:r>
    </w:p>
    <w:p w:rsidR="00822256" w:rsidRDefault="00BC1F54" w:rsidP="000B32AB">
      <w:pPr>
        <w:ind w:firstLine="709"/>
        <w:jc w:val="both"/>
      </w:pPr>
      <w:r>
        <w:t>Ainda durante esse período, foi realizada uma reunião conjunta dos membros do Conselho Nacional dos Procuradores-Gerais – CNPG e dos membros do Conselho Nacional dos Ouvidores do Ministério Público (CNOMP).</w:t>
      </w:r>
    </w:p>
    <w:p w:rsidR="000B32AB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 w:rsidR="000B32AB">
        <w:t>quarto</w:t>
      </w:r>
      <w:r w:rsidR="00593298">
        <w:t xml:space="preserve"> trimestre de 2</w:t>
      </w:r>
      <w:r w:rsidR="00030594">
        <w:t>.</w:t>
      </w:r>
      <w:r w:rsidR="00593298">
        <w:t>01</w:t>
      </w:r>
      <w:r w:rsidR="00E841DA">
        <w:t>3</w:t>
      </w:r>
      <w:r w:rsidR="00B161A3">
        <w:t xml:space="preserve">, </w:t>
      </w:r>
      <w:r w:rsidR="000B32AB">
        <w:t>tiveram um ligeiro decréscimo</w:t>
      </w:r>
      <w:r w:rsidR="00B161A3">
        <w:t>.</w:t>
      </w:r>
    </w:p>
    <w:p w:rsidR="00581447" w:rsidRDefault="00B161A3" w:rsidP="00581447">
      <w:pPr>
        <w:ind w:firstLine="709"/>
        <w:jc w:val="both"/>
      </w:pPr>
      <w:r>
        <w:lastRenderedPageBreak/>
        <w:t xml:space="preserve">No mês de </w:t>
      </w:r>
      <w:r w:rsidR="000B32AB">
        <w:t>outubro</w:t>
      </w:r>
      <w:r w:rsidR="00C41597">
        <w:t xml:space="preserve"> </w:t>
      </w:r>
      <w:r>
        <w:t xml:space="preserve">foram </w:t>
      </w:r>
      <w:r w:rsidR="00030594">
        <w:t>1.</w:t>
      </w:r>
      <w:r w:rsidR="000B32AB">
        <w:t>524</w:t>
      </w:r>
      <w:r>
        <w:t xml:space="preserve"> (</w:t>
      </w:r>
      <w:r w:rsidR="00030594">
        <w:t>mil</w:t>
      </w:r>
      <w:r w:rsidR="00FE04CB">
        <w:t xml:space="preserve">, </w:t>
      </w:r>
      <w:r w:rsidR="000B32AB">
        <w:t>quinhentas e vinte e quatro</w:t>
      </w:r>
      <w:r>
        <w:t xml:space="preserve">), em </w:t>
      </w:r>
      <w:r w:rsidR="000B32AB">
        <w:t>novembro</w:t>
      </w:r>
      <w:r>
        <w:t xml:space="preserve"> 1</w:t>
      </w:r>
      <w:r w:rsidR="00820723">
        <w:t>.</w:t>
      </w:r>
      <w:r w:rsidR="000B32AB">
        <w:t>276</w:t>
      </w:r>
      <w:r>
        <w:t xml:space="preserve"> (mil</w:t>
      </w:r>
      <w:r w:rsidR="00822256">
        <w:t xml:space="preserve">, </w:t>
      </w:r>
      <w:r w:rsidR="000B32AB">
        <w:t>duzentas e setenta e seis</w:t>
      </w:r>
      <w:r>
        <w:t xml:space="preserve">) e em </w:t>
      </w:r>
      <w:r w:rsidR="000B32AB">
        <w:t>dezembro</w:t>
      </w:r>
      <w:r>
        <w:t xml:space="preserve"> 1</w:t>
      </w:r>
      <w:r w:rsidR="000B32AB">
        <w:t>.</w:t>
      </w:r>
      <w:r w:rsidR="004947AE">
        <w:t>062</w:t>
      </w:r>
      <w:r>
        <w:t xml:space="preserve"> (mil</w:t>
      </w:r>
      <w:r w:rsidR="00B376FB">
        <w:t xml:space="preserve"> e sessenta e </w:t>
      </w:r>
      <w:r w:rsidR="004947AE">
        <w:t>duas</w:t>
      </w:r>
      <w:r>
        <w:t xml:space="preserve">), resultando em </w:t>
      </w:r>
      <w:r w:rsidR="004947AE">
        <w:t>3.862</w:t>
      </w:r>
      <w:r>
        <w:t xml:space="preserve"> (</w:t>
      </w:r>
      <w:r w:rsidR="004947AE">
        <w:t>três</w:t>
      </w:r>
      <w:r w:rsidR="00B376FB">
        <w:t xml:space="preserve"> mil, </w:t>
      </w:r>
      <w:r w:rsidR="004947AE">
        <w:t>oitocentas</w:t>
      </w:r>
      <w:r w:rsidR="00B376FB">
        <w:t xml:space="preserve"> e sessenta e </w:t>
      </w:r>
      <w:r w:rsidR="004947AE">
        <w:t>duas</w:t>
      </w:r>
      <w:r>
        <w:t xml:space="preserve">) manifestações no </w:t>
      </w:r>
      <w:r w:rsidR="004947AE">
        <w:t>4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8B0847">
        <w:t>3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4947AE">
        <w:t>decréscimo</w:t>
      </w:r>
      <w:r w:rsidR="008B0847">
        <w:t xml:space="preserve"> de </w:t>
      </w:r>
      <w:r w:rsidR="004947AE">
        <w:t>13,52</w:t>
      </w:r>
      <w:r w:rsidR="00581447">
        <w:t>% em relação ao trimestre an</w:t>
      </w:r>
      <w:r w:rsidR="00664B87">
        <w:t>terior</w:t>
      </w:r>
      <w:r w:rsidR="004947AE">
        <w:t>, mas um acréscimo</w:t>
      </w:r>
      <w:r w:rsidR="00630957">
        <w:t xml:space="preserve"> </w:t>
      </w:r>
      <w:r w:rsidR="00664B87">
        <w:t xml:space="preserve">de </w:t>
      </w:r>
      <w:r w:rsidR="004947AE">
        <w:t>9,43</w:t>
      </w:r>
      <w:r w:rsidR="00581447">
        <w:t xml:space="preserve">% em relação </w:t>
      </w:r>
      <w:r w:rsidR="008B0847">
        <w:t>ao mesmo período do ano de 2.012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</w:t>
      </w:r>
      <w:r w:rsidR="004947AE">
        <w:t xml:space="preserve"> 653</w:t>
      </w:r>
      <w:r w:rsidR="008B0847">
        <w:t xml:space="preserve"> </w:t>
      </w:r>
      <w:r>
        <w:t>(</w:t>
      </w:r>
      <w:r w:rsidR="004947AE">
        <w:t>seiscentas e cinquenta e três</w:t>
      </w:r>
      <w:r>
        <w:t xml:space="preserve">) pessoas, sendo </w:t>
      </w:r>
      <w:r w:rsidR="004947AE">
        <w:t>647</w:t>
      </w:r>
      <w:r>
        <w:t xml:space="preserve"> (</w:t>
      </w:r>
      <w:r w:rsidR="004947AE">
        <w:t>sei</w:t>
      </w:r>
      <w:r w:rsidR="001F19F3">
        <w:t>s</w:t>
      </w:r>
      <w:r w:rsidR="004947AE">
        <w:t>centas</w:t>
      </w:r>
      <w:r w:rsidR="00D51AAE">
        <w:t xml:space="preserve"> e </w:t>
      </w:r>
      <w:r w:rsidR="001F19F3">
        <w:t>quarenta e sete</w:t>
      </w:r>
      <w:r>
        <w:t xml:space="preserve">) por telefone e </w:t>
      </w:r>
      <w:r w:rsidR="004947AE">
        <w:t xml:space="preserve">6 </w:t>
      </w:r>
      <w:r>
        <w:t>(</w:t>
      </w:r>
      <w:r w:rsidR="004947AE">
        <w:t>seis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D51AAE">
        <w:t>3.</w:t>
      </w:r>
      <w:r w:rsidR="001F19F3">
        <w:t>152</w:t>
      </w:r>
      <w:r>
        <w:t xml:space="preserve"> (</w:t>
      </w:r>
      <w:r w:rsidR="00860F42">
        <w:t>três</w:t>
      </w:r>
      <w:r>
        <w:t xml:space="preserve"> mil, </w:t>
      </w:r>
      <w:r w:rsidR="001F19F3">
        <w:t>cento e cinquenta e duas</w:t>
      </w:r>
      <w:r>
        <w:t>) me</w:t>
      </w:r>
      <w:r w:rsidR="003E49B1">
        <w:t xml:space="preserve">nsagens por meio eletrônico e </w:t>
      </w:r>
      <w:r w:rsidR="00D51AAE">
        <w:t>5</w:t>
      </w:r>
      <w:r w:rsidR="001F19F3">
        <w:t>7</w:t>
      </w:r>
      <w:r>
        <w:t xml:space="preserve"> (</w:t>
      </w:r>
      <w:r w:rsidR="00D51AAE">
        <w:t xml:space="preserve">cinquenta e </w:t>
      </w:r>
      <w:r w:rsidR="001F19F3">
        <w:t>sete</w:t>
      </w:r>
      <w:r>
        <w:t>) por carta.</w:t>
      </w:r>
    </w:p>
    <w:p w:rsidR="00D51AAE" w:rsidRDefault="00D51AAE" w:rsidP="00581447">
      <w:pPr>
        <w:ind w:firstLine="709"/>
        <w:jc w:val="both"/>
      </w:pPr>
      <w:r>
        <w:t xml:space="preserve">Anote-se que </w:t>
      </w:r>
      <w:r w:rsidR="001F19F3">
        <w:t>972</w:t>
      </w:r>
      <w:r>
        <w:t xml:space="preserve"> (</w:t>
      </w:r>
      <w:r w:rsidR="001F19F3">
        <w:t>novecentas</w:t>
      </w:r>
      <w:r>
        <w:t xml:space="preserve"> e setenta e </w:t>
      </w:r>
      <w:r w:rsidR="001F19F3">
        <w:t>duas</w:t>
      </w:r>
      <w:r>
        <w:t>) manifestações foram feitas de forma anônima.</w:t>
      </w: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51AAE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1F19F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1F19F3" w:rsidP="00D51AA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1.1</w:t>
            </w:r>
            <w:r w:rsidR="00D51AA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C53526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1.148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C5352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C5352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C53526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297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81492B" w:rsidP="00761F2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1.037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1676A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81492B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25445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972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81492B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2.957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409AB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81492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  <w:bookmarkStart w:id="0" w:name="_GoBack"/>
    </w:p>
    <w:bookmarkEnd w:id="0"/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581447" w:rsidRDefault="00677724" w:rsidP="00FC13DA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FC13DA" w:rsidP="00581447">
      <w:pPr>
        <w:spacing w:after="0" w:line="240" w:lineRule="auto"/>
      </w:pPr>
      <w:r>
        <w:rPr>
          <w:noProof/>
          <w:color w:val="7030A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FC06DE" w:rsidP="00581447">
      <w:pPr>
        <w:jc w:val="both"/>
      </w:pPr>
      <w:r>
        <w:rPr>
          <w:i/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  <w:r>
        <w:t>Como se vê pelos gráficos acima, a</w:t>
      </w:r>
      <w:r w:rsidR="00581447">
        <w:t xml:space="preserve"> Ouvidoria consolidou-se como importante intermediadora entre a sociedade e os diversos setores do Ministério Público.</w:t>
      </w: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lastRenderedPageBreak/>
        <w:t>I – questões relat</w:t>
      </w:r>
      <w:r w:rsidR="00D45E05">
        <w:t>i</w:t>
      </w:r>
      <w:r w:rsidR="00254450">
        <w:t>vas às relações de consumo – 410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</w:t>
      </w:r>
      <w:r w:rsidR="00254450">
        <w:t>ivas ao patrimônio público – 243</w:t>
      </w:r>
      <w:r w:rsidR="00D45E05">
        <w:t>;</w:t>
      </w:r>
    </w:p>
    <w:p w:rsidR="00263BF7" w:rsidRDefault="00263BF7" w:rsidP="00581447">
      <w:pPr>
        <w:ind w:firstLine="709"/>
        <w:jc w:val="both"/>
      </w:pPr>
      <w:r>
        <w:t xml:space="preserve">III – </w:t>
      </w:r>
      <w:r w:rsidR="00254450">
        <w:t>questões relativas à habitação e urbanismo – 149</w:t>
      </w:r>
      <w:r>
        <w:t>;</w:t>
      </w:r>
    </w:p>
    <w:p w:rsidR="00263BF7" w:rsidRDefault="00263BF7" w:rsidP="00581447">
      <w:pPr>
        <w:ind w:firstLine="709"/>
        <w:jc w:val="both"/>
      </w:pPr>
      <w:r>
        <w:t>IV –</w:t>
      </w:r>
      <w:r w:rsidR="00254450">
        <w:t xml:space="preserve"> questões relativas à saúde pública – 109</w:t>
      </w:r>
      <w:r>
        <w:t>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254450">
        <w:t xml:space="preserve"> relativas ao meio ambiente – 65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D45E05" w:rsidRPr="00D45E05">
        <w:t xml:space="preserve"> </w:t>
      </w:r>
      <w:r w:rsidR="00D45E05">
        <w:t>qu</w:t>
      </w:r>
      <w:r w:rsidR="00254450">
        <w:t>estões relativas à educação – 61</w:t>
      </w:r>
      <w:r>
        <w:t>.</w:t>
      </w:r>
    </w:p>
    <w:p w:rsidR="00581447" w:rsidRDefault="00B27FC0" w:rsidP="00581447">
      <w:pPr>
        <w:ind w:firstLine="709"/>
        <w:jc w:val="both"/>
      </w:pPr>
      <w:r>
        <w:t xml:space="preserve">A orientação aos manifestantes a respeito de temas diversos, as queixas relativas </w:t>
      </w:r>
      <w:r w:rsidR="00085B83">
        <w:t>à</w:t>
      </w:r>
      <w:r>
        <w:t xml:space="preserve"> prática de crimes e de questões que estão fora das atribuições do Ministério Público, além de assuntos relacionados a nossos concursos, dominaram as manifestações dirigidas à Ouvidoria</w:t>
      </w:r>
      <w:r w:rsidR="00581447">
        <w:t>.</w:t>
      </w:r>
      <w:r>
        <w:t xml:space="preserve"> No entanto, a relevância maior da Ouvidoria destaca-se nos seis tópicos acima mencionados, por sua repercussão na sociedade extrapolar o âmbito individual.</w:t>
      </w:r>
    </w:p>
    <w:p w:rsidR="00B27FC0" w:rsidRDefault="00B27FC0" w:rsidP="00581447">
      <w:pPr>
        <w:ind w:firstLine="709"/>
        <w:jc w:val="both"/>
      </w:pPr>
    </w:p>
    <w:p w:rsidR="00581447" w:rsidRDefault="00B27FC0" w:rsidP="00581447">
      <w:pPr>
        <w:ind w:firstLine="709"/>
        <w:jc w:val="both"/>
      </w:pPr>
      <w:r>
        <w:t xml:space="preserve">Estes os aspectos mais relevantes da atuação da Ouvidoria do Ministério Público do Estado de São Paulo neste </w:t>
      </w:r>
      <w:r w:rsidR="00C16B4F">
        <w:t>quarto</w:t>
      </w:r>
      <w:r>
        <w:t xml:space="preserve"> trimestre de 2.013.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lastRenderedPageBreak/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03" w:rsidRDefault="00313003" w:rsidP="0080377D">
      <w:pPr>
        <w:spacing w:after="0" w:line="240" w:lineRule="auto"/>
      </w:pPr>
      <w:r>
        <w:separator/>
      </w:r>
    </w:p>
  </w:endnote>
  <w:endnote w:type="continuationSeparator" w:id="0">
    <w:p w:rsidR="00313003" w:rsidRDefault="00313003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970EEE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A44F33">
      <w:rPr>
        <w:noProof/>
      </w:rPr>
      <w:t>1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03" w:rsidRDefault="00313003" w:rsidP="0080377D">
      <w:pPr>
        <w:spacing w:after="0" w:line="240" w:lineRule="auto"/>
      </w:pPr>
      <w:r>
        <w:separator/>
      </w:r>
    </w:p>
  </w:footnote>
  <w:footnote w:type="continuationSeparator" w:id="0">
    <w:p w:rsidR="00313003" w:rsidRDefault="00313003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76A"/>
    <w:rsid w:val="0001698F"/>
    <w:rsid w:val="0002107A"/>
    <w:rsid w:val="00022FB6"/>
    <w:rsid w:val="00027910"/>
    <w:rsid w:val="00030594"/>
    <w:rsid w:val="0005423C"/>
    <w:rsid w:val="000605FD"/>
    <w:rsid w:val="000671B9"/>
    <w:rsid w:val="00076904"/>
    <w:rsid w:val="000830B8"/>
    <w:rsid w:val="00085B83"/>
    <w:rsid w:val="000A2BB2"/>
    <w:rsid w:val="000B32AB"/>
    <w:rsid w:val="000B7B58"/>
    <w:rsid w:val="000C28E4"/>
    <w:rsid w:val="000E5F22"/>
    <w:rsid w:val="001041D4"/>
    <w:rsid w:val="00111CC1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D42D7"/>
    <w:rsid w:val="001F19F3"/>
    <w:rsid w:val="001F1C0D"/>
    <w:rsid w:val="002071F7"/>
    <w:rsid w:val="00254450"/>
    <w:rsid w:val="002578DB"/>
    <w:rsid w:val="00263BF7"/>
    <w:rsid w:val="00273EF1"/>
    <w:rsid w:val="00280B0E"/>
    <w:rsid w:val="002877E2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003"/>
    <w:rsid w:val="00313760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A2DC6"/>
    <w:rsid w:val="003B116E"/>
    <w:rsid w:val="003C257A"/>
    <w:rsid w:val="003C7BBE"/>
    <w:rsid w:val="003D0737"/>
    <w:rsid w:val="003D40BA"/>
    <w:rsid w:val="003E49B1"/>
    <w:rsid w:val="0040443F"/>
    <w:rsid w:val="00420F59"/>
    <w:rsid w:val="00434155"/>
    <w:rsid w:val="00435CC5"/>
    <w:rsid w:val="004409AB"/>
    <w:rsid w:val="00464E85"/>
    <w:rsid w:val="00465AF3"/>
    <w:rsid w:val="004902D1"/>
    <w:rsid w:val="004947AE"/>
    <w:rsid w:val="00496613"/>
    <w:rsid w:val="00503B1D"/>
    <w:rsid w:val="005112D2"/>
    <w:rsid w:val="005215D4"/>
    <w:rsid w:val="00524B2B"/>
    <w:rsid w:val="005306BB"/>
    <w:rsid w:val="0054379A"/>
    <w:rsid w:val="005607D5"/>
    <w:rsid w:val="005742BA"/>
    <w:rsid w:val="00581447"/>
    <w:rsid w:val="00586D61"/>
    <w:rsid w:val="00587FE0"/>
    <w:rsid w:val="00593298"/>
    <w:rsid w:val="005A7EFB"/>
    <w:rsid w:val="005C6141"/>
    <w:rsid w:val="005D4C6A"/>
    <w:rsid w:val="005D5B6A"/>
    <w:rsid w:val="005E4E1E"/>
    <w:rsid w:val="00602EEC"/>
    <w:rsid w:val="00605CBC"/>
    <w:rsid w:val="006120AC"/>
    <w:rsid w:val="00630957"/>
    <w:rsid w:val="0063706E"/>
    <w:rsid w:val="006646B3"/>
    <w:rsid w:val="00664B87"/>
    <w:rsid w:val="0067531F"/>
    <w:rsid w:val="00677724"/>
    <w:rsid w:val="006865FB"/>
    <w:rsid w:val="006A4604"/>
    <w:rsid w:val="006C0BEF"/>
    <w:rsid w:val="006C0F6F"/>
    <w:rsid w:val="006C35C0"/>
    <w:rsid w:val="006C6A81"/>
    <w:rsid w:val="006D74C9"/>
    <w:rsid w:val="006E46A9"/>
    <w:rsid w:val="007154CB"/>
    <w:rsid w:val="00715B25"/>
    <w:rsid w:val="00715B68"/>
    <w:rsid w:val="00725B1A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6328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80377D"/>
    <w:rsid w:val="0081492B"/>
    <w:rsid w:val="00820723"/>
    <w:rsid w:val="00822256"/>
    <w:rsid w:val="00832810"/>
    <w:rsid w:val="008340B6"/>
    <w:rsid w:val="00846FB0"/>
    <w:rsid w:val="008600D5"/>
    <w:rsid w:val="00860F42"/>
    <w:rsid w:val="0086546F"/>
    <w:rsid w:val="008737A0"/>
    <w:rsid w:val="00877F1B"/>
    <w:rsid w:val="00892A38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0EEE"/>
    <w:rsid w:val="0097289D"/>
    <w:rsid w:val="00976069"/>
    <w:rsid w:val="00985907"/>
    <w:rsid w:val="009A0D1A"/>
    <w:rsid w:val="009B4C39"/>
    <w:rsid w:val="009B7DF5"/>
    <w:rsid w:val="009C5DD1"/>
    <w:rsid w:val="009F09FD"/>
    <w:rsid w:val="009F1EE4"/>
    <w:rsid w:val="00A21390"/>
    <w:rsid w:val="00A21B52"/>
    <w:rsid w:val="00A304D5"/>
    <w:rsid w:val="00A35589"/>
    <w:rsid w:val="00A366BA"/>
    <w:rsid w:val="00A44F33"/>
    <w:rsid w:val="00A60655"/>
    <w:rsid w:val="00A66324"/>
    <w:rsid w:val="00AD203A"/>
    <w:rsid w:val="00AD4639"/>
    <w:rsid w:val="00AF7094"/>
    <w:rsid w:val="00AF77E6"/>
    <w:rsid w:val="00B0220B"/>
    <w:rsid w:val="00B12B38"/>
    <w:rsid w:val="00B161A3"/>
    <w:rsid w:val="00B27FC0"/>
    <w:rsid w:val="00B36C67"/>
    <w:rsid w:val="00B376FB"/>
    <w:rsid w:val="00B573E4"/>
    <w:rsid w:val="00B65501"/>
    <w:rsid w:val="00B76F9F"/>
    <w:rsid w:val="00B8460E"/>
    <w:rsid w:val="00B84DFB"/>
    <w:rsid w:val="00B9134B"/>
    <w:rsid w:val="00BC1F54"/>
    <w:rsid w:val="00BD3AA1"/>
    <w:rsid w:val="00BD52D5"/>
    <w:rsid w:val="00BE024F"/>
    <w:rsid w:val="00BF60F2"/>
    <w:rsid w:val="00BF6AD3"/>
    <w:rsid w:val="00C10AF5"/>
    <w:rsid w:val="00C14463"/>
    <w:rsid w:val="00C16B4F"/>
    <w:rsid w:val="00C307FC"/>
    <w:rsid w:val="00C37874"/>
    <w:rsid w:val="00C41597"/>
    <w:rsid w:val="00C42D7D"/>
    <w:rsid w:val="00C53526"/>
    <w:rsid w:val="00C60759"/>
    <w:rsid w:val="00C928EA"/>
    <w:rsid w:val="00C93392"/>
    <w:rsid w:val="00CA3BF3"/>
    <w:rsid w:val="00CA589B"/>
    <w:rsid w:val="00CB70CD"/>
    <w:rsid w:val="00CD7A90"/>
    <w:rsid w:val="00CD7C74"/>
    <w:rsid w:val="00D017AA"/>
    <w:rsid w:val="00D06AAD"/>
    <w:rsid w:val="00D2106A"/>
    <w:rsid w:val="00D25BE1"/>
    <w:rsid w:val="00D279D2"/>
    <w:rsid w:val="00D43645"/>
    <w:rsid w:val="00D44E20"/>
    <w:rsid w:val="00D45E05"/>
    <w:rsid w:val="00D51AAE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F1F38"/>
    <w:rsid w:val="00DF73EC"/>
    <w:rsid w:val="00E05FED"/>
    <w:rsid w:val="00E161D4"/>
    <w:rsid w:val="00E247DC"/>
    <w:rsid w:val="00E35A47"/>
    <w:rsid w:val="00E35A75"/>
    <w:rsid w:val="00E401F5"/>
    <w:rsid w:val="00E43633"/>
    <w:rsid w:val="00E46FF4"/>
    <w:rsid w:val="00E55079"/>
    <w:rsid w:val="00E6011C"/>
    <w:rsid w:val="00E75EE8"/>
    <w:rsid w:val="00E761A0"/>
    <w:rsid w:val="00E841DA"/>
    <w:rsid w:val="00ED217F"/>
    <w:rsid w:val="00ED535F"/>
    <w:rsid w:val="00ED638C"/>
    <w:rsid w:val="00EF0761"/>
    <w:rsid w:val="00EF2E2E"/>
    <w:rsid w:val="00EF6935"/>
    <w:rsid w:val="00F06532"/>
    <w:rsid w:val="00F12A71"/>
    <w:rsid w:val="00F13668"/>
    <w:rsid w:val="00F20059"/>
    <w:rsid w:val="00F277C4"/>
    <w:rsid w:val="00F36829"/>
    <w:rsid w:val="00F73BBC"/>
    <w:rsid w:val="00F83B2A"/>
    <w:rsid w:val="00F87E5D"/>
    <w:rsid w:val="00FB1220"/>
    <w:rsid w:val="00FB50C0"/>
    <w:rsid w:val="00FC06DE"/>
    <w:rsid w:val="00FC13DA"/>
    <w:rsid w:val="00FC7028"/>
    <w:rsid w:val="00FD5909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73</c:v>
                </c:pt>
                <c:pt idx="1">
                  <c:v>3</c:v>
                </c:pt>
                <c:pt idx="2" formatCode="#,##0">
                  <c:v>1139</c:v>
                </c:pt>
                <c:pt idx="3">
                  <c:v>14</c:v>
                </c:pt>
                <c:pt idx="4" formatCode="#,##0">
                  <c:v>1148</c:v>
                </c:pt>
                <c:pt idx="5" formatCode="#,##0">
                  <c:v>1165</c:v>
                </c:pt>
                <c:pt idx="6">
                  <c:v>23</c:v>
                </c:pt>
                <c:pt idx="7">
                  <c:v>297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3152</c:v>
                </c:pt>
                <c:pt idx="1">
                  <c:v>647</c:v>
                </c:pt>
                <c:pt idx="2">
                  <c:v>57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#,##0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  <c:pt idx="6">
                  <c:v>1288</c:v>
                </c:pt>
                <c:pt idx="7">
                  <c:v>1509</c:v>
                </c:pt>
                <c:pt idx="8">
                  <c:v>1669</c:v>
                </c:pt>
                <c:pt idx="9">
                  <c:v>1524</c:v>
                </c:pt>
                <c:pt idx="10">
                  <c:v>1276</c:v>
                </c:pt>
                <c:pt idx="11">
                  <c:v>1062</c:v>
                </c:pt>
              </c:numCache>
            </c:numRef>
          </c:val>
        </c:ser>
        <c:axId val="60889344"/>
        <c:axId val="60907520"/>
      </c:barChart>
      <c:catAx>
        <c:axId val="60889344"/>
        <c:scaling>
          <c:orientation val="minMax"/>
        </c:scaling>
        <c:axPos val="b"/>
        <c:tickLblPos val="nextTo"/>
        <c:crossAx val="60907520"/>
        <c:crosses val="autoZero"/>
        <c:auto val="1"/>
        <c:lblAlgn val="ctr"/>
        <c:lblOffset val="100"/>
      </c:catAx>
      <c:valAx>
        <c:axId val="60907520"/>
        <c:scaling>
          <c:orientation val="minMax"/>
        </c:scaling>
        <c:axPos val="l"/>
        <c:majorGridlines/>
        <c:numFmt formatCode="General" sourceLinked="1"/>
        <c:tickLblPos val="nextTo"/>
        <c:crossAx val="60889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2E7A-EFA7-4DD2-9CE7-43CFBB6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2014-01-21T14:20:00Z</dcterms:created>
  <dcterms:modified xsi:type="dcterms:W3CDTF">2014-01-21T14:20:00Z</dcterms:modified>
</cp:coreProperties>
</file>