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6B50" w14:textId="1BD6A368" w:rsidR="003372A0" w:rsidRDefault="00B64506" w:rsidP="00B64506">
      <w:pPr>
        <w:ind w:left="180"/>
        <w:jc w:val="center"/>
        <w:rPr>
          <w:rFonts w:ascii="Century Gothic" w:hAnsi="Century Gothic"/>
          <w:b/>
        </w:rPr>
      </w:pPr>
      <w:r>
        <w:rPr>
          <w:rFonts w:ascii="Century Gothic" w:hAnsi="Century Gothic"/>
          <w:b/>
        </w:rPr>
        <w:t>SUBÁREA DE FUNDOS ESPECIAIS - ATIVIDADES E RESULTADO – EXERCÍCIO 2018</w:t>
      </w:r>
    </w:p>
    <w:p w14:paraId="144793D1" w14:textId="77777777" w:rsidR="00B64506" w:rsidRDefault="00B64506" w:rsidP="00B64506">
      <w:pPr>
        <w:ind w:left="180"/>
        <w:jc w:val="center"/>
        <w:rPr>
          <w:rFonts w:ascii="Century Gothic" w:hAnsi="Century Gothic"/>
          <w:b/>
        </w:rPr>
      </w:pPr>
    </w:p>
    <w:p w14:paraId="109BD18E" w14:textId="77777777" w:rsidR="003372A0" w:rsidRDefault="003372A0" w:rsidP="003372A0">
      <w:pPr>
        <w:ind w:left="180" w:firstLine="1380"/>
        <w:jc w:val="both"/>
        <w:rPr>
          <w:rFonts w:ascii="Century Gothic" w:hAnsi="Century Gothic"/>
        </w:rPr>
      </w:pPr>
      <w:r>
        <w:rPr>
          <w:rFonts w:ascii="Century Gothic" w:hAnsi="Century Gothic"/>
        </w:rPr>
        <w:t>O presente relatório tem o objetivo de apresentar o</w:t>
      </w:r>
      <w:r w:rsidRPr="00EF7812">
        <w:rPr>
          <w:rFonts w:ascii="Century Gothic" w:hAnsi="Century Gothic"/>
        </w:rPr>
        <w:t xml:space="preserve"> trabalho realizado na Subárea de Fundos Especiais</w:t>
      </w:r>
      <w:r>
        <w:rPr>
          <w:rFonts w:ascii="Century Gothic" w:hAnsi="Century Gothic"/>
        </w:rPr>
        <w:t xml:space="preserve"> no ano de 2018,</w:t>
      </w:r>
      <w:r w:rsidRPr="00EF7812">
        <w:rPr>
          <w:rFonts w:ascii="Century Gothic" w:hAnsi="Century Gothic"/>
        </w:rPr>
        <w:t xml:space="preserve"> em relação a gestão e </w:t>
      </w:r>
      <w:r>
        <w:rPr>
          <w:rFonts w:ascii="Century Gothic" w:hAnsi="Century Gothic"/>
        </w:rPr>
        <w:t>operacionalização da arrecadação e pagamentos realizados com recursos próprios.</w:t>
      </w:r>
    </w:p>
    <w:p w14:paraId="44C2E0DE" w14:textId="77777777" w:rsidR="003372A0" w:rsidRPr="00EF7812" w:rsidRDefault="003372A0" w:rsidP="003372A0">
      <w:pPr>
        <w:ind w:left="180" w:firstLine="1380"/>
        <w:jc w:val="both"/>
        <w:rPr>
          <w:rFonts w:ascii="Century Gothic" w:hAnsi="Century Gothic"/>
        </w:rPr>
      </w:pPr>
      <w:r w:rsidRPr="00EF7812">
        <w:rPr>
          <w:rFonts w:ascii="Century Gothic" w:hAnsi="Century Gothic"/>
        </w:rPr>
        <w:t>A Instituição possui os seguintes fundos de despesa com suas respectivas aplicações:</w:t>
      </w:r>
    </w:p>
    <w:p w14:paraId="03398BE7" w14:textId="75C324F9" w:rsidR="003372A0" w:rsidRPr="00EF7812" w:rsidRDefault="003372A0" w:rsidP="003372A0">
      <w:pPr>
        <w:ind w:left="180"/>
        <w:jc w:val="both"/>
        <w:rPr>
          <w:rFonts w:ascii="Century Gothic" w:hAnsi="Century Gothic"/>
        </w:rPr>
      </w:pPr>
      <w:r w:rsidRPr="00EF7812">
        <w:rPr>
          <w:rFonts w:ascii="Century Gothic" w:hAnsi="Century Gothic"/>
        </w:rPr>
        <w:t xml:space="preserve">- </w:t>
      </w:r>
      <w:r w:rsidRPr="00DB46D6">
        <w:rPr>
          <w:rFonts w:ascii="Century Gothic" w:hAnsi="Century Gothic"/>
          <w:b/>
        </w:rPr>
        <w:t>Fundo Especial de Despesa para Concursos de Ingresso à Carreira do Ministério Público</w:t>
      </w:r>
      <w:r w:rsidRPr="00EF7812">
        <w:rPr>
          <w:rFonts w:ascii="Century Gothic" w:hAnsi="Century Gothic"/>
        </w:rPr>
        <w:t xml:space="preserve"> (UG 270030)  recebe as receitas das inscrições</w:t>
      </w:r>
      <w:r w:rsidR="001118EA">
        <w:rPr>
          <w:rFonts w:ascii="Century Gothic" w:hAnsi="Century Gothic"/>
        </w:rPr>
        <w:t xml:space="preserve"> para custeio da realização do Concurso de I</w:t>
      </w:r>
      <w:r w:rsidRPr="00EF7812">
        <w:rPr>
          <w:rFonts w:ascii="Century Gothic" w:hAnsi="Century Gothic"/>
        </w:rPr>
        <w:t xml:space="preserve">ngresso à </w:t>
      </w:r>
      <w:r w:rsidR="001118EA">
        <w:rPr>
          <w:rFonts w:ascii="Century Gothic" w:hAnsi="Century Gothic"/>
        </w:rPr>
        <w:t>C</w:t>
      </w:r>
      <w:r w:rsidRPr="00EF7812">
        <w:rPr>
          <w:rFonts w:ascii="Century Gothic" w:hAnsi="Century Gothic"/>
        </w:rPr>
        <w:t>arreira do Ministério Público.</w:t>
      </w:r>
    </w:p>
    <w:p w14:paraId="51B8DBEF" w14:textId="77777777" w:rsidR="003372A0" w:rsidRPr="00EF7812" w:rsidRDefault="003372A0" w:rsidP="003372A0">
      <w:pPr>
        <w:ind w:left="180"/>
        <w:jc w:val="both"/>
        <w:rPr>
          <w:rFonts w:ascii="Century Gothic" w:hAnsi="Century Gothic"/>
        </w:rPr>
      </w:pPr>
      <w:r w:rsidRPr="00EF7812">
        <w:rPr>
          <w:rFonts w:ascii="Century Gothic" w:hAnsi="Century Gothic"/>
        </w:rPr>
        <w:t xml:space="preserve">- </w:t>
      </w:r>
      <w:r w:rsidRPr="00DB46D6">
        <w:rPr>
          <w:rFonts w:ascii="Century Gothic" w:hAnsi="Century Gothic"/>
          <w:b/>
          <w:color w:val="000000" w:themeColor="text1"/>
        </w:rPr>
        <w:t>Fundo Especial de Despesa do Centro de Estudos e Aperfeiçoamento Funcional do Ministério Público</w:t>
      </w:r>
      <w:r w:rsidRPr="00EF7812">
        <w:rPr>
          <w:rFonts w:ascii="Century Gothic" w:hAnsi="Century Gothic"/>
        </w:rPr>
        <w:t xml:space="preserve"> (UG 270031) recebe receitas das mensalidades dos cursos de especializações promovidos pela Escola Superior e taxas dos concursos de credenciamento de estagiários, tem por objetivo os pagamentos dos professores que ministram aulas nos cursos de especialização, realização do concurso de estagiários e os pagamentos dos contratos para manutenção da Escola.</w:t>
      </w:r>
    </w:p>
    <w:p w14:paraId="3BDA3073" w14:textId="77777777" w:rsidR="003372A0" w:rsidRPr="00EF7812" w:rsidRDefault="003372A0" w:rsidP="003372A0">
      <w:pPr>
        <w:ind w:left="180"/>
        <w:jc w:val="both"/>
        <w:rPr>
          <w:rFonts w:ascii="Century Gothic" w:hAnsi="Century Gothic"/>
        </w:rPr>
      </w:pPr>
      <w:r w:rsidRPr="00EF7812">
        <w:rPr>
          <w:rFonts w:ascii="Century Gothic" w:hAnsi="Century Gothic"/>
        </w:rPr>
        <w:t xml:space="preserve">- </w:t>
      </w:r>
      <w:r w:rsidRPr="00DB46D6">
        <w:rPr>
          <w:rFonts w:ascii="Century Gothic" w:hAnsi="Century Gothic"/>
          <w:b/>
        </w:rPr>
        <w:t>Fundo Especial de Despesa do Ministério Público do Estado de São Paulo</w:t>
      </w:r>
      <w:r w:rsidRPr="00EF7812">
        <w:rPr>
          <w:rFonts w:ascii="Century Gothic" w:hAnsi="Century Gothic"/>
        </w:rPr>
        <w:t xml:space="preserve"> (UG 270033)  recebe recursos oriundos dos depósitos de extração de cópias reprográficas, certidões, leilões, multas contratuais e demais receitas nos termos do Ato PGJ 227/00, valor de custas extrajudiciais conforme Lei 11.331/2002, atualizada pela Lei 15.885/15 e Recursos Federais através de convênios - SICONV.</w:t>
      </w:r>
    </w:p>
    <w:p w14:paraId="3C818757" w14:textId="77777777" w:rsidR="003372A0" w:rsidRPr="00EF7812" w:rsidRDefault="003372A0" w:rsidP="003372A0">
      <w:pPr>
        <w:ind w:firstLine="1418"/>
        <w:jc w:val="both"/>
        <w:rPr>
          <w:rFonts w:ascii="Century Gothic" w:hAnsi="Century Gothic"/>
        </w:rPr>
      </w:pPr>
      <w:r w:rsidRPr="00EF7812">
        <w:rPr>
          <w:rFonts w:ascii="Century Gothic" w:hAnsi="Century Gothic"/>
        </w:rPr>
        <w:t>A seguir relacionamos as atividades da subárea:</w:t>
      </w:r>
    </w:p>
    <w:p w14:paraId="5031ED18" w14:textId="77777777" w:rsidR="003372A0" w:rsidRPr="00EF7812" w:rsidRDefault="003372A0" w:rsidP="003372A0">
      <w:pPr>
        <w:ind w:left="180"/>
        <w:jc w:val="both"/>
        <w:rPr>
          <w:rFonts w:ascii="Century Gothic" w:hAnsi="Century Gothic"/>
        </w:rPr>
      </w:pPr>
      <w:r w:rsidRPr="00EF7812">
        <w:rPr>
          <w:rFonts w:ascii="Century Gothic" w:hAnsi="Century Gothic"/>
        </w:rPr>
        <w:t>A gestão dos recursos das três unidades gestoras (270030, 270031 e 270033) é feita na subárea de Fundos Especiais.</w:t>
      </w:r>
    </w:p>
    <w:p w14:paraId="26619F6A" w14:textId="77777777" w:rsidR="003372A0" w:rsidRPr="00EF7812" w:rsidRDefault="003372A0" w:rsidP="003372A0">
      <w:pPr>
        <w:ind w:left="180" w:firstLine="1238"/>
        <w:jc w:val="both"/>
        <w:rPr>
          <w:rFonts w:ascii="Century Gothic" w:hAnsi="Century Gothic"/>
        </w:rPr>
      </w:pPr>
      <w:r w:rsidRPr="00EF7812">
        <w:rPr>
          <w:rFonts w:ascii="Century Gothic" w:hAnsi="Century Gothic"/>
        </w:rPr>
        <w:t>Cada UG exige um tipo de gestão e procedimentos específicos.</w:t>
      </w:r>
    </w:p>
    <w:p w14:paraId="0A2D7C5A" w14:textId="77777777" w:rsidR="003372A0" w:rsidRDefault="003372A0" w:rsidP="003372A0">
      <w:pPr>
        <w:ind w:left="180" w:firstLine="1238"/>
        <w:jc w:val="both"/>
        <w:rPr>
          <w:rFonts w:ascii="Century Gothic" w:hAnsi="Century Gothic"/>
        </w:rPr>
      </w:pPr>
      <w:r w:rsidRPr="00EF7812">
        <w:rPr>
          <w:rFonts w:ascii="Century Gothic" w:hAnsi="Century Gothic"/>
        </w:rPr>
        <w:t>Abaixo relacionaremos as atividades aos níveis que são realizadas, como demonstração da quantidade e complexidade das tarefas desenvolvidas na subárea relativo busca e registro da entrada de recurso próprio e dos trâmites visando o pagamento de serviços e aquisições com recurso próprio</w:t>
      </w:r>
      <w:r>
        <w:rPr>
          <w:rFonts w:ascii="Century Gothic" w:hAnsi="Century Gothic"/>
        </w:rPr>
        <w:t>, considerando o recurso intelectual de 5 servidores que atuam na busca, controle e cobrança de receitas, 3 servidores que atuam no controle, e pagamento das despesas e um servidor que atua na gestão da receita e da /despesa</w:t>
      </w:r>
      <w:r w:rsidRPr="00EF7812">
        <w:rPr>
          <w:rFonts w:ascii="Century Gothic" w:hAnsi="Century Gothic"/>
        </w:rPr>
        <w:t>.</w:t>
      </w:r>
    </w:p>
    <w:p w14:paraId="0E08502E" w14:textId="77777777" w:rsidR="003372A0" w:rsidRPr="00EF7812" w:rsidRDefault="003372A0" w:rsidP="003372A0">
      <w:pPr>
        <w:ind w:left="180" w:firstLine="1238"/>
        <w:jc w:val="both"/>
        <w:rPr>
          <w:rFonts w:ascii="Century Gothic" w:hAnsi="Century Gothic"/>
        </w:rPr>
      </w:pPr>
      <w:r>
        <w:rPr>
          <w:rFonts w:ascii="Century Gothic" w:hAnsi="Century Gothic"/>
        </w:rPr>
        <w:t>Devido ao crescimento das atividades, recentemente a subárea foi dotada de um cargo de Assessor do MP, o que amenizou um pouco a questão da distribuição da responsabilidade e ajudou que pudéssemos cumprir as tarefas, porém ainda apresenta carência de investimento devido a diversidade e quantidade de tarefas a executar e gerir.</w:t>
      </w:r>
    </w:p>
    <w:p w14:paraId="24346E9A" w14:textId="77777777" w:rsidR="003372A0" w:rsidRPr="007C5647" w:rsidRDefault="003372A0" w:rsidP="003372A0">
      <w:pPr>
        <w:ind w:left="180"/>
        <w:jc w:val="both"/>
        <w:rPr>
          <w:rFonts w:ascii="Century Gothic" w:hAnsi="Century Gothic"/>
          <w:b/>
        </w:rPr>
      </w:pPr>
      <w:r w:rsidRPr="007C5647">
        <w:rPr>
          <w:rFonts w:ascii="Century Gothic" w:hAnsi="Century Gothic"/>
          <w:b/>
        </w:rPr>
        <w:lastRenderedPageBreak/>
        <w:t>Atividades de âmbito gerencial:</w:t>
      </w:r>
    </w:p>
    <w:p w14:paraId="0A83C225" w14:textId="77777777" w:rsidR="003372A0" w:rsidRPr="00EF7812" w:rsidRDefault="003372A0" w:rsidP="003372A0">
      <w:pPr>
        <w:ind w:left="180"/>
        <w:jc w:val="both"/>
        <w:rPr>
          <w:rFonts w:ascii="Century Gothic" w:hAnsi="Century Gothic"/>
        </w:rPr>
      </w:pPr>
    </w:p>
    <w:p w14:paraId="7BBBC1C1" w14:textId="77777777" w:rsidR="003372A0" w:rsidRPr="00EF7812" w:rsidRDefault="003372A0" w:rsidP="003372A0">
      <w:pPr>
        <w:pStyle w:val="PargrafodaLista"/>
        <w:numPr>
          <w:ilvl w:val="0"/>
          <w:numId w:val="19"/>
        </w:numPr>
        <w:spacing w:after="0"/>
        <w:jc w:val="both"/>
        <w:rPr>
          <w:rFonts w:ascii="Century Gothic" w:hAnsi="Century Gothic"/>
        </w:rPr>
      </w:pPr>
      <w:r>
        <w:rPr>
          <w:rFonts w:ascii="Century Gothic" w:hAnsi="Century Gothic"/>
        </w:rPr>
        <w:t xml:space="preserve">Criação de </w:t>
      </w:r>
      <w:r w:rsidRPr="00EF7812">
        <w:rPr>
          <w:rFonts w:ascii="Century Gothic" w:hAnsi="Century Gothic"/>
        </w:rPr>
        <w:t>Item de Receita</w:t>
      </w:r>
    </w:p>
    <w:p w14:paraId="6D0511C8" w14:textId="77777777" w:rsidR="003372A0" w:rsidRDefault="003372A0" w:rsidP="003372A0">
      <w:pPr>
        <w:pStyle w:val="PargrafodaLista"/>
        <w:jc w:val="both"/>
        <w:rPr>
          <w:rFonts w:ascii="Century Gothic" w:hAnsi="Century Gothic"/>
        </w:rPr>
      </w:pPr>
    </w:p>
    <w:p w14:paraId="76880B7B" w14:textId="77777777" w:rsidR="003372A0" w:rsidRDefault="003372A0" w:rsidP="003372A0">
      <w:pPr>
        <w:pStyle w:val="PargrafodaLista"/>
        <w:jc w:val="both"/>
        <w:rPr>
          <w:rFonts w:ascii="Century Gothic" w:hAnsi="Century Gothic"/>
        </w:rPr>
      </w:pPr>
      <w:r>
        <w:rPr>
          <w:rFonts w:ascii="Century Gothic" w:hAnsi="Century Gothic"/>
        </w:rPr>
        <w:t xml:space="preserve">Quando um fundo especial recebe por Lei uma nova destinação de recurso próprio (ex. Lei 15.885/2015 – referente percentual de Emolumentos), é criado um item de receita para fins de contabilização e controle dos valores recebidos. O mesmo procedimento é adotado quando da assinatura de convênio que tenha natureza financeira, visando a contabilização e controle dos valores repassados e utilizados no convênio e viabilizando a prestação de contas futura. </w:t>
      </w:r>
    </w:p>
    <w:p w14:paraId="5C2D6831" w14:textId="77777777" w:rsidR="003372A0" w:rsidRPr="00EF7812" w:rsidRDefault="003372A0" w:rsidP="003372A0">
      <w:pPr>
        <w:pStyle w:val="PargrafodaLista"/>
        <w:jc w:val="both"/>
        <w:rPr>
          <w:rFonts w:ascii="Century Gothic" w:hAnsi="Century Gothic"/>
        </w:rPr>
      </w:pPr>
    </w:p>
    <w:p w14:paraId="5502F90A" w14:textId="77777777" w:rsidR="003372A0" w:rsidRPr="00EF7812" w:rsidRDefault="003372A0" w:rsidP="003372A0">
      <w:pPr>
        <w:pStyle w:val="PargrafodaLista"/>
        <w:numPr>
          <w:ilvl w:val="0"/>
          <w:numId w:val="20"/>
        </w:numPr>
        <w:tabs>
          <w:tab w:val="left" w:pos="993"/>
        </w:tabs>
        <w:spacing w:after="0"/>
        <w:ind w:hanging="11"/>
        <w:jc w:val="both"/>
        <w:rPr>
          <w:rFonts w:ascii="Century Gothic" w:hAnsi="Century Gothic"/>
        </w:rPr>
      </w:pPr>
      <w:r w:rsidRPr="00EF7812">
        <w:rPr>
          <w:rFonts w:ascii="Century Gothic" w:hAnsi="Century Gothic"/>
        </w:rPr>
        <w:t>Solicitação de item de receita à Secretaria da Fazenda;</w:t>
      </w:r>
    </w:p>
    <w:p w14:paraId="6E18DB48" w14:textId="77777777" w:rsidR="003372A0" w:rsidRPr="00EF7812" w:rsidRDefault="003372A0" w:rsidP="003372A0">
      <w:pPr>
        <w:pStyle w:val="PargrafodaLista"/>
        <w:numPr>
          <w:ilvl w:val="0"/>
          <w:numId w:val="20"/>
        </w:numPr>
        <w:tabs>
          <w:tab w:val="left" w:pos="993"/>
        </w:tabs>
        <w:spacing w:after="0"/>
        <w:ind w:hanging="11"/>
        <w:jc w:val="both"/>
        <w:rPr>
          <w:rFonts w:ascii="Century Gothic" w:hAnsi="Century Gothic"/>
        </w:rPr>
      </w:pPr>
      <w:r w:rsidRPr="00EF7812">
        <w:rPr>
          <w:rFonts w:ascii="Century Gothic" w:hAnsi="Century Gothic"/>
        </w:rPr>
        <w:t>Acompanhamento de alterações das contas de receita no Siafem.</w:t>
      </w:r>
    </w:p>
    <w:p w14:paraId="4AA15384" w14:textId="77777777" w:rsidR="003372A0" w:rsidRPr="00EF7812" w:rsidRDefault="003372A0" w:rsidP="003372A0">
      <w:pPr>
        <w:pStyle w:val="PargrafodaLista"/>
        <w:ind w:left="1620"/>
        <w:jc w:val="both"/>
        <w:rPr>
          <w:rFonts w:ascii="Century Gothic" w:hAnsi="Century Gothic"/>
        </w:rPr>
      </w:pPr>
    </w:p>
    <w:p w14:paraId="2A0DBA42" w14:textId="77777777" w:rsidR="003372A0" w:rsidRDefault="003372A0" w:rsidP="003372A0">
      <w:pPr>
        <w:pStyle w:val="PargrafodaLista"/>
        <w:numPr>
          <w:ilvl w:val="0"/>
          <w:numId w:val="19"/>
        </w:numPr>
        <w:spacing w:after="0"/>
        <w:jc w:val="both"/>
        <w:rPr>
          <w:rFonts w:ascii="Century Gothic" w:hAnsi="Century Gothic"/>
        </w:rPr>
      </w:pPr>
      <w:r>
        <w:rPr>
          <w:rFonts w:ascii="Century Gothic" w:hAnsi="Century Gothic"/>
        </w:rPr>
        <w:t xml:space="preserve">Manuseio do </w:t>
      </w:r>
      <w:r w:rsidRPr="00EF7812">
        <w:rPr>
          <w:rFonts w:ascii="Century Gothic" w:hAnsi="Century Gothic"/>
        </w:rPr>
        <w:t xml:space="preserve">SIR – SISTEMA INTEGRADO DA RECEITA </w:t>
      </w:r>
    </w:p>
    <w:p w14:paraId="6BAF3E81" w14:textId="77777777" w:rsidR="003372A0" w:rsidRPr="00341F40" w:rsidRDefault="003372A0" w:rsidP="003372A0">
      <w:pPr>
        <w:pStyle w:val="ms-element-p"/>
        <w:spacing w:before="0" w:beforeAutospacing="0" w:after="0" w:afterAutospacing="0" w:line="294" w:lineRule="atLeast"/>
        <w:ind w:left="786"/>
        <w:jc w:val="both"/>
        <w:rPr>
          <w:rFonts w:ascii="Century Gothic" w:eastAsiaTheme="minorEastAsia" w:hAnsi="Century Gothic" w:cstheme="minorBidi"/>
          <w:sz w:val="22"/>
          <w:szCs w:val="22"/>
        </w:rPr>
      </w:pPr>
      <w:r w:rsidRPr="00341F40">
        <w:rPr>
          <w:rFonts w:ascii="Century Gothic" w:eastAsiaTheme="minorEastAsia" w:hAnsi="Century Gothic" w:cstheme="minorBidi"/>
          <w:sz w:val="22"/>
          <w:szCs w:val="22"/>
        </w:rPr>
        <w:t>é destinado à previsão orçamentária e acompanhamento da arrecadação das receitas estaduais (Tesouro, Vinculadas Estaduais, Fundos Especiais de Despesa, Receitas Próprias das Autarquias, Fundações e Empresas Dependentes, Transferências Federais e Operações de Crédito).</w:t>
      </w:r>
    </w:p>
    <w:p w14:paraId="3CFDD479" w14:textId="77777777" w:rsidR="003372A0" w:rsidRPr="00341F40" w:rsidRDefault="003372A0" w:rsidP="003372A0">
      <w:pPr>
        <w:pStyle w:val="ms-element-p"/>
        <w:spacing w:before="0" w:beforeAutospacing="0" w:after="0" w:afterAutospacing="0" w:line="294" w:lineRule="atLeast"/>
        <w:ind w:left="786"/>
        <w:jc w:val="both"/>
        <w:rPr>
          <w:rFonts w:ascii="Century Gothic" w:eastAsiaTheme="minorEastAsia" w:hAnsi="Century Gothic" w:cstheme="minorBidi"/>
          <w:sz w:val="22"/>
          <w:szCs w:val="22"/>
        </w:rPr>
      </w:pPr>
    </w:p>
    <w:p w14:paraId="70CCF84D" w14:textId="77777777" w:rsidR="003372A0" w:rsidRPr="00341F40" w:rsidRDefault="003372A0" w:rsidP="003372A0">
      <w:pPr>
        <w:pStyle w:val="ms-element-p"/>
        <w:spacing w:before="0" w:beforeAutospacing="0" w:after="0" w:afterAutospacing="0" w:line="294" w:lineRule="atLeast"/>
        <w:ind w:left="786"/>
        <w:jc w:val="both"/>
        <w:rPr>
          <w:rFonts w:ascii="Century Gothic" w:eastAsiaTheme="minorEastAsia" w:hAnsi="Century Gothic" w:cstheme="minorBidi"/>
          <w:sz w:val="22"/>
          <w:szCs w:val="22"/>
        </w:rPr>
      </w:pPr>
      <w:r w:rsidRPr="00341F40">
        <w:rPr>
          <w:rFonts w:ascii="Century Gothic" w:eastAsiaTheme="minorEastAsia" w:hAnsi="Century Gothic" w:cstheme="minorBidi"/>
          <w:sz w:val="22"/>
          <w:szCs w:val="22"/>
        </w:rPr>
        <w:t>Os dados do sistema são utilizados para o cálculo e análise dos pedidos de confirmação de excesso de arrecadação, superávit financeiro e retorno da receita diferida.</w:t>
      </w:r>
    </w:p>
    <w:p w14:paraId="025E93B8" w14:textId="77777777" w:rsidR="003372A0" w:rsidRPr="00EF7812" w:rsidRDefault="003372A0" w:rsidP="003372A0">
      <w:pPr>
        <w:pStyle w:val="PargrafodaLista"/>
        <w:spacing w:after="0"/>
        <w:ind w:left="786"/>
        <w:jc w:val="both"/>
        <w:rPr>
          <w:rFonts w:ascii="Century Gothic" w:hAnsi="Century Gothic"/>
        </w:rPr>
      </w:pPr>
    </w:p>
    <w:p w14:paraId="0155A322" w14:textId="77777777" w:rsidR="003372A0" w:rsidRPr="00EF7812" w:rsidRDefault="003372A0" w:rsidP="003372A0">
      <w:pPr>
        <w:jc w:val="both"/>
        <w:rPr>
          <w:rFonts w:ascii="Century Gothic" w:hAnsi="Century Gothic"/>
        </w:rPr>
      </w:pPr>
      <w:r w:rsidRPr="00EF7812">
        <w:rPr>
          <w:rFonts w:ascii="Century Gothic" w:hAnsi="Century Gothic"/>
        </w:rPr>
        <w:t xml:space="preserve">          No sistema SIR</w:t>
      </w:r>
      <w:r>
        <w:rPr>
          <w:rFonts w:ascii="Century Gothic" w:hAnsi="Century Gothic"/>
        </w:rPr>
        <w:t xml:space="preserve"> – Sistema Integrado de Receita </w:t>
      </w:r>
      <w:r w:rsidRPr="00EF7812">
        <w:rPr>
          <w:rFonts w:ascii="Century Gothic" w:hAnsi="Century Gothic"/>
        </w:rPr>
        <w:t>, elaboração de:</w:t>
      </w:r>
    </w:p>
    <w:p w14:paraId="4D60060D" w14:textId="77777777" w:rsidR="003372A0" w:rsidRPr="00EF7812" w:rsidRDefault="003372A0" w:rsidP="003372A0">
      <w:pPr>
        <w:pStyle w:val="PargrafodaLista"/>
        <w:numPr>
          <w:ilvl w:val="0"/>
          <w:numId w:val="21"/>
        </w:numPr>
        <w:tabs>
          <w:tab w:val="left" w:pos="1134"/>
        </w:tabs>
        <w:spacing w:after="0"/>
        <w:ind w:left="1134" w:hanging="283"/>
        <w:jc w:val="both"/>
        <w:rPr>
          <w:rFonts w:ascii="Century Gothic" w:hAnsi="Century Gothic"/>
        </w:rPr>
      </w:pPr>
      <w:r w:rsidRPr="00EF7812">
        <w:rPr>
          <w:rFonts w:ascii="Century Gothic" w:hAnsi="Century Gothic"/>
        </w:rPr>
        <w:t>Previsão de Receita - Elaboração de projeção de receitas para exercícios futuros,</w:t>
      </w:r>
    </w:p>
    <w:p w14:paraId="77D5021F" w14:textId="77777777" w:rsidR="003372A0" w:rsidRPr="00EF7812" w:rsidRDefault="003372A0" w:rsidP="003372A0">
      <w:pPr>
        <w:pStyle w:val="PargrafodaLista"/>
        <w:numPr>
          <w:ilvl w:val="0"/>
          <w:numId w:val="21"/>
        </w:numPr>
        <w:tabs>
          <w:tab w:val="left" w:pos="1134"/>
        </w:tabs>
        <w:spacing w:after="0"/>
        <w:ind w:left="1134" w:hanging="283"/>
        <w:jc w:val="both"/>
        <w:rPr>
          <w:rFonts w:ascii="Century Gothic" w:hAnsi="Century Gothic"/>
        </w:rPr>
      </w:pPr>
      <w:r w:rsidRPr="00EF7812">
        <w:rPr>
          <w:rFonts w:ascii="Century Gothic" w:hAnsi="Century Gothic"/>
        </w:rPr>
        <w:t>Retorno de Diferimento - Solicitação de Retorno de Diferimento,</w:t>
      </w:r>
    </w:p>
    <w:p w14:paraId="41BF5174" w14:textId="77777777" w:rsidR="003372A0" w:rsidRPr="00EF7812" w:rsidRDefault="003372A0" w:rsidP="003372A0">
      <w:pPr>
        <w:pStyle w:val="PargrafodaLista"/>
        <w:numPr>
          <w:ilvl w:val="0"/>
          <w:numId w:val="21"/>
        </w:numPr>
        <w:tabs>
          <w:tab w:val="left" w:pos="1134"/>
        </w:tabs>
        <w:spacing w:after="0"/>
        <w:ind w:left="1134" w:hanging="283"/>
        <w:jc w:val="both"/>
        <w:rPr>
          <w:rFonts w:ascii="Century Gothic" w:hAnsi="Century Gothic"/>
        </w:rPr>
      </w:pPr>
      <w:r w:rsidRPr="00EF7812">
        <w:rPr>
          <w:rFonts w:ascii="Century Gothic" w:hAnsi="Century Gothic"/>
        </w:rPr>
        <w:t>Confirmação de Excesso - Solicitação de créditos através de excessos de arrecadação, cuja documentação é objeto de fiscalização do Tribunal de Contas,</w:t>
      </w:r>
    </w:p>
    <w:p w14:paraId="63A4A216" w14:textId="77777777" w:rsidR="003372A0" w:rsidRPr="00EF7812" w:rsidRDefault="003372A0" w:rsidP="003372A0">
      <w:pPr>
        <w:pStyle w:val="PargrafodaLista"/>
        <w:numPr>
          <w:ilvl w:val="0"/>
          <w:numId w:val="21"/>
        </w:numPr>
        <w:tabs>
          <w:tab w:val="left" w:pos="1134"/>
        </w:tabs>
        <w:spacing w:after="0"/>
        <w:ind w:left="1134" w:hanging="283"/>
        <w:jc w:val="both"/>
        <w:rPr>
          <w:rFonts w:ascii="Century Gothic" w:hAnsi="Century Gothic"/>
        </w:rPr>
      </w:pPr>
      <w:r w:rsidRPr="00EF7812">
        <w:rPr>
          <w:rFonts w:ascii="Century Gothic" w:hAnsi="Century Gothic"/>
        </w:rPr>
        <w:t>Superávit Financeiro – Solicitação de créditos através de Superávit Financeiro;</w:t>
      </w:r>
    </w:p>
    <w:p w14:paraId="3DEB02C1" w14:textId="77777777" w:rsidR="003372A0" w:rsidRPr="00EF7812" w:rsidRDefault="003372A0" w:rsidP="003372A0">
      <w:pPr>
        <w:pStyle w:val="PargrafodaLista"/>
        <w:ind w:left="1692"/>
        <w:jc w:val="both"/>
        <w:rPr>
          <w:rFonts w:ascii="Century Gothic" w:hAnsi="Century Gothic"/>
        </w:rPr>
      </w:pPr>
    </w:p>
    <w:p w14:paraId="7BD57B01"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Criação e manutenção do Portal de Emolumentos Extrajudiciais no site do Ministério Público destinado aos notários e oficiais de registro do Estado de São Paulo, contendo toda a legislação pertinente, o link do Sistema Eletrônico de Arrecadação de Emolumentos para declaração dos valores e emissão do boleto, o manual operacional, seção de “Perguntas Mais Frequentes”, tutorial em vídeo, bem como comunicados relevantes aos cartórios;</w:t>
      </w:r>
    </w:p>
    <w:p w14:paraId="47DCCDD9" w14:textId="77777777" w:rsidR="003372A0" w:rsidRPr="00EF7812" w:rsidRDefault="003372A0" w:rsidP="003372A0">
      <w:pPr>
        <w:pStyle w:val="PargrafodaLista"/>
        <w:jc w:val="both"/>
        <w:rPr>
          <w:rFonts w:ascii="Century Gothic" w:hAnsi="Century Gothic"/>
        </w:rPr>
      </w:pPr>
    </w:p>
    <w:p w14:paraId="7CD1DAAA"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Interação constante como o CTIC - Centro de Tecnologia da Informação e Comunicação (Coordenador, Diretores e desenvolvedores) no que se refere ao desenvolvimento e aperfeiçoamento do Sistema Eletrônico de Arrecadação de Emolumentos;</w:t>
      </w:r>
    </w:p>
    <w:p w14:paraId="19BEADFC" w14:textId="77777777" w:rsidR="003372A0" w:rsidRPr="00EF7812" w:rsidRDefault="003372A0" w:rsidP="003372A0">
      <w:pPr>
        <w:pStyle w:val="PargrafodaLista"/>
        <w:jc w:val="both"/>
        <w:rPr>
          <w:rFonts w:ascii="Century Gothic" w:hAnsi="Century Gothic"/>
        </w:rPr>
      </w:pPr>
    </w:p>
    <w:p w14:paraId="43256AB2"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Solicitação e acompanhamento de melhorias no sistema de boletos bancários do “Serviço MP”;</w:t>
      </w:r>
    </w:p>
    <w:p w14:paraId="0D7B19D1" w14:textId="77777777" w:rsidR="003372A0" w:rsidRPr="00EF7812" w:rsidRDefault="003372A0" w:rsidP="003372A0">
      <w:pPr>
        <w:pStyle w:val="PargrafodaLista"/>
        <w:jc w:val="both"/>
        <w:rPr>
          <w:rFonts w:ascii="Century Gothic" w:hAnsi="Century Gothic"/>
        </w:rPr>
      </w:pPr>
    </w:p>
    <w:p w14:paraId="469A10A9"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Controle das distribuições de serventias a ser conciliadas por servidor e do encerramento das conciliações, com anotações dos pedidos de devolução, certidão e solicitação de promotoria/juízo.</w:t>
      </w:r>
    </w:p>
    <w:p w14:paraId="1F7E03E8" w14:textId="77777777" w:rsidR="003372A0" w:rsidRPr="00EF7812" w:rsidRDefault="003372A0" w:rsidP="003372A0">
      <w:pPr>
        <w:pStyle w:val="PargrafodaLista"/>
        <w:jc w:val="both"/>
        <w:rPr>
          <w:rFonts w:ascii="Century Gothic" w:hAnsi="Century Gothic"/>
        </w:rPr>
      </w:pPr>
    </w:p>
    <w:p w14:paraId="40688CF6"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Orientação aos servidores referente as conciliações visando padronizar e dirimir dúvidas pertinentes ao serviço de cobrança de valores de emolumentos;</w:t>
      </w:r>
    </w:p>
    <w:p w14:paraId="05F47D42" w14:textId="77777777" w:rsidR="003372A0" w:rsidRPr="00EF7812" w:rsidRDefault="003372A0" w:rsidP="003372A0">
      <w:pPr>
        <w:pStyle w:val="PargrafodaLista"/>
        <w:rPr>
          <w:rFonts w:ascii="Century Gothic" w:hAnsi="Century Gothic"/>
        </w:rPr>
      </w:pPr>
    </w:p>
    <w:p w14:paraId="0F75EFD2" w14:textId="77777777" w:rsidR="003372A0" w:rsidRPr="00EF7812" w:rsidRDefault="003372A0" w:rsidP="003372A0">
      <w:pPr>
        <w:pStyle w:val="PargrafodaLista"/>
        <w:jc w:val="both"/>
        <w:rPr>
          <w:rFonts w:ascii="Century Gothic" w:hAnsi="Century Gothic"/>
        </w:rPr>
      </w:pPr>
    </w:p>
    <w:p w14:paraId="3A7E1086"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Acolhimento de dúvidas/situações oriundas das serventias quando o assunto não é corriqueiro visando uma solução plausível.</w:t>
      </w:r>
    </w:p>
    <w:p w14:paraId="114CB83A" w14:textId="77777777" w:rsidR="003372A0" w:rsidRPr="00EF7812" w:rsidRDefault="003372A0" w:rsidP="003372A0">
      <w:pPr>
        <w:pStyle w:val="PargrafodaLista"/>
        <w:jc w:val="both"/>
        <w:rPr>
          <w:rFonts w:ascii="Century Gothic" w:hAnsi="Century Gothic"/>
        </w:rPr>
      </w:pPr>
    </w:p>
    <w:p w14:paraId="474450DA"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Inteiração com os servidores que conciliam na subárea, com a Diretoria do Centro de Finança e a Diretoria Geral através de encaminhamento de conclusão e despacho da Diretoria visando a Autorização à serem concedida para cobrança de valores devidos pela serventia e quando da cobrança de ter havido compensação de créditos em favor da serventia, autorização prévia do ordenador de despesa (Diretor-Geral);</w:t>
      </w:r>
    </w:p>
    <w:p w14:paraId="22DE957C" w14:textId="77777777" w:rsidR="003372A0" w:rsidRPr="00EF7812" w:rsidRDefault="003372A0" w:rsidP="003372A0">
      <w:pPr>
        <w:pStyle w:val="PargrafodaLista"/>
        <w:jc w:val="both"/>
        <w:rPr>
          <w:rFonts w:ascii="Century Gothic" w:hAnsi="Century Gothic"/>
        </w:rPr>
      </w:pPr>
    </w:p>
    <w:p w14:paraId="50198B2A"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Alimentação da taxa Selic na calculadora de acréscimos dos recolhimentos de emolumentos;</w:t>
      </w:r>
    </w:p>
    <w:p w14:paraId="7EFCB148" w14:textId="77777777" w:rsidR="003372A0" w:rsidRPr="00EF7812" w:rsidRDefault="003372A0" w:rsidP="003372A0">
      <w:pPr>
        <w:pStyle w:val="PargrafodaLista"/>
        <w:jc w:val="both"/>
        <w:rPr>
          <w:rFonts w:ascii="Century Gothic" w:hAnsi="Century Gothic"/>
        </w:rPr>
      </w:pPr>
    </w:p>
    <w:p w14:paraId="3F2A0DFE" w14:textId="77777777" w:rsidR="003372A0" w:rsidRPr="00DE0E2F" w:rsidRDefault="003372A0" w:rsidP="003372A0">
      <w:pPr>
        <w:pStyle w:val="PargrafodaLista"/>
        <w:rPr>
          <w:rFonts w:ascii="Century Gothic" w:hAnsi="Century Gothic"/>
        </w:rPr>
      </w:pPr>
    </w:p>
    <w:p w14:paraId="4B67A669"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Atualização semanal da relação de dados e valores referentes aos períodos de conciliação e prescrição de valores de receitas de emolumentos, Conciliação bancária dos repasses de emolumentos extrajudiciais efetuados pelos cartórios, o que envolve;</w:t>
      </w:r>
    </w:p>
    <w:p w14:paraId="6267DB84" w14:textId="77777777" w:rsidR="003372A0" w:rsidRPr="00EF7812" w:rsidRDefault="003372A0" w:rsidP="003372A0">
      <w:pPr>
        <w:pStyle w:val="PargrafodaLista"/>
        <w:rPr>
          <w:rFonts w:ascii="Century Gothic" w:hAnsi="Century Gothic"/>
        </w:rPr>
      </w:pPr>
    </w:p>
    <w:p w14:paraId="455D3AD5"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Criação de novas rotinas relacionadas ao serviço de emolumentos tendo em vista que ainda está em formação as atividades que envolvem a busca de recurso;</w:t>
      </w:r>
    </w:p>
    <w:p w14:paraId="24A6DC17" w14:textId="77777777" w:rsidR="003372A0" w:rsidRPr="00EF7812" w:rsidRDefault="003372A0" w:rsidP="003372A0">
      <w:pPr>
        <w:pStyle w:val="PargrafodaLista"/>
        <w:rPr>
          <w:rFonts w:ascii="Century Gothic" w:hAnsi="Century Gothic"/>
        </w:rPr>
      </w:pPr>
    </w:p>
    <w:p w14:paraId="3056289C"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Elaboração de minutas de ato normativo relativo aos serviços da subárea.</w:t>
      </w:r>
    </w:p>
    <w:p w14:paraId="7460C2BC" w14:textId="77777777" w:rsidR="003372A0" w:rsidRPr="00EF7812" w:rsidRDefault="003372A0" w:rsidP="003372A0">
      <w:pPr>
        <w:pStyle w:val="PargrafodaLista"/>
        <w:jc w:val="both"/>
        <w:rPr>
          <w:rFonts w:ascii="Century Gothic" w:hAnsi="Century Gothic"/>
        </w:rPr>
      </w:pPr>
    </w:p>
    <w:p w14:paraId="3F1B8CE0" w14:textId="77777777" w:rsidR="003372A0" w:rsidRPr="00EF7812" w:rsidRDefault="003372A0" w:rsidP="003372A0">
      <w:pPr>
        <w:pStyle w:val="PargrafodaLista"/>
        <w:jc w:val="both"/>
        <w:rPr>
          <w:rFonts w:ascii="Century Gothic" w:hAnsi="Century Gothic"/>
        </w:rPr>
      </w:pPr>
    </w:p>
    <w:p w14:paraId="1EF83A7B"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Solicitação de orientação à Diretoria Geral, quando ocorre situações novas que precisam de amparo jurídico;</w:t>
      </w:r>
    </w:p>
    <w:p w14:paraId="33E830A4" w14:textId="77777777" w:rsidR="003372A0" w:rsidRPr="00EF7812" w:rsidRDefault="003372A0" w:rsidP="003372A0">
      <w:pPr>
        <w:pStyle w:val="PargrafodaLista"/>
        <w:jc w:val="both"/>
        <w:rPr>
          <w:rFonts w:ascii="Century Gothic" w:hAnsi="Century Gothic"/>
        </w:rPr>
      </w:pPr>
    </w:p>
    <w:p w14:paraId="6D9EC0A4"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Elaboração de parecer, que subsidiará a decisão do Diretor-Geral, visando impugnação de defesa prévia nos casos de Notificação de Lançamento (Emolumentos);</w:t>
      </w:r>
    </w:p>
    <w:p w14:paraId="7E515533" w14:textId="77777777" w:rsidR="003372A0" w:rsidRPr="00EF7812" w:rsidRDefault="003372A0" w:rsidP="003372A0">
      <w:pPr>
        <w:pStyle w:val="PargrafodaLista"/>
        <w:jc w:val="both"/>
        <w:rPr>
          <w:rFonts w:ascii="Century Gothic" w:hAnsi="Century Gothic"/>
        </w:rPr>
      </w:pPr>
    </w:p>
    <w:p w14:paraId="113E8F06" w14:textId="77777777" w:rsidR="003372A0" w:rsidRPr="00EF7812" w:rsidRDefault="003372A0" w:rsidP="003372A0">
      <w:pPr>
        <w:pStyle w:val="PargrafodaLista"/>
        <w:numPr>
          <w:ilvl w:val="0"/>
          <w:numId w:val="19"/>
        </w:numPr>
        <w:jc w:val="both"/>
        <w:rPr>
          <w:rFonts w:ascii="Century Gothic" w:hAnsi="Century Gothic"/>
        </w:rPr>
      </w:pPr>
      <w:r w:rsidRPr="00EF7812">
        <w:rPr>
          <w:rFonts w:ascii="Century Gothic" w:hAnsi="Century Gothic"/>
        </w:rPr>
        <w:t>Orientação aos servidores referente aos pedidos de devolução de curso (CE) e de inscrição de concurso (CI) visando padronizar e dirimir dúvidas pertinentes ao serviço de devolução de valores;</w:t>
      </w:r>
    </w:p>
    <w:p w14:paraId="280198A5" w14:textId="77777777" w:rsidR="003372A0" w:rsidRPr="00EF7812" w:rsidRDefault="003372A0" w:rsidP="003372A0">
      <w:pPr>
        <w:pStyle w:val="PargrafodaLista"/>
        <w:ind w:left="900"/>
        <w:jc w:val="both"/>
        <w:rPr>
          <w:rFonts w:ascii="Century Gothic" w:hAnsi="Century Gothic"/>
        </w:rPr>
      </w:pPr>
    </w:p>
    <w:p w14:paraId="6049C602"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Emissão de demonstrativo de receitas</w:t>
      </w:r>
    </w:p>
    <w:p w14:paraId="093E334A" w14:textId="77777777" w:rsidR="003372A0" w:rsidRPr="00EF7812" w:rsidRDefault="003372A0" w:rsidP="003372A0">
      <w:pPr>
        <w:pStyle w:val="PargrafodaLista"/>
        <w:jc w:val="both"/>
        <w:rPr>
          <w:rFonts w:ascii="Century Gothic" w:hAnsi="Century Gothic"/>
        </w:rPr>
      </w:pPr>
    </w:p>
    <w:p w14:paraId="32425B53" w14:textId="77777777" w:rsidR="003372A0"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Em forma de tabela ou relatório visando demonstrar às receitas arrecadadas;</w:t>
      </w:r>
    </w:p>
    <w:p w14:paraId="36B656E5" w14:textId="77777777" w:rsidR="003372A0" w:rsidRPr="007C5647" w:rsidRDefault="003372A0" w:rsidP="003372A0">
      <w:pPr>
        <w:pStyle w:val="PargrafodaLista"/>
        <w:rPr>
          <w:rFonts w:ascii="Century Gothic" w:hAnsi="Century Gothic"/>
        </w:rPr>
      </w:pPr>
    </w:p>
    <w:p w14:paraId="0C305D92" w14:textId="77777777" w:rsidR="003372A0"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SISOCP</w:t>
      </w:r>
      <w:r>
        <w:rPr>
          <w:rFonts w:ascii="Century Gothic" w:hAnsi="Century Gothic"/>
        </w:rPr>
        <w:t xml:space="preserve"> </w:t>
      </w:r>
    </w:p>
    <w:p w14:paraId="36825D5E" w14:textId="77777777" w:rsidR="003372A0" w:rsidRPr="00AB6D08" w:rsidRDefault="003372A0" w:rsidP="003372A0">
      <w:pPr>
        <w:pStyle w:val="PargrafodaLista"/>
        <w:rPr>
          <w:rFonts w:ascii="Century Gothic" w:hAnsi="Century Gothic"/>
        </w:rPr>
      </w:pPr>
    </w:p>
    <w:p w14:paraId="4244A2E2" w14:textId="77777777" w:rsidR="003372A0" w:rsidRPr="000510C9" w:rsidRDefault="003372A0" w:rsidP="003372A0">
      <w:pPr>
        <w:pStyle w:val="PargrafodaLista"/>
        <w:spacing w:after="0"/>
        <w:ind w:left="786"/>
        <w:jc w:val="both"/>
        <w:rPr>
          <w:rFonts w:ascii="Century Gothic" w:hAnsi="Century Gothic"/>
        </w:rPr>
      </w:pPr>
      <w:r>
        <w:rPr>
          <w:rFonts w:ascii="Century Gothic" w:hAnsi="Century Gothic"/>
        </w:rPr>
        <w:t>Informação ao Tribunal de Contas do Estado de São Paulo, quanto aos pagamentos realizados no semestre. Transmissão de arquivo ao TCE até 31/janeiro e até 31/julho relativo ao semestre anterior, conforme legislação pertinente.</w:t>
      </w:r>
    </w:p>
    <w:p w14:paraId="7CFB8EC5" w14:textId="77777777" w:rsidR="003372A0" w:rsidRPr="00EF7812" w:rsidRDefault="003372A0" w:rsidP="003372A0">
      <w:pPr>
        <w:numPr>
          <w:ilvl w:val="0"/>
          <w:numId w:val="14"/>
        </w:numPr>
        <w:shd w:val="clear" w:color="auto" w:fill="FFFFFF"/>
        <w:spacing w:before="100" w:beforeAutospacing="1" w:after="100" w:afterAutospacing="1"/>
        <w:ind w:right="150" w:firstLine="207"/>
        <w:jc w:val="both"/>
        <w:rPr>
          <w:rFonts w:ascii="Century Gothic" w:hAnsi="Century Gothic"/>
        </w:rPr>
      </w:pPr>
      <w:r w:rsidRPr="00EF7812">
        <w:rPr>
          <w:rFonts w:ascii="Century Gothic" w:hAnsi="Century Gothic"/>
        </w:rPr>
        <w:t>Acompanhamento das alterações e instrução aos servidores que trabalham com a inserção de dados de pagamento no sistema do Tribunal de Contas,</w:t>
      </w:r>
    </w:p>
    <w:p w14:paraId="59A114B9" w14:textId="77777777" w:rsidR="003372A0" w:rsidRPr="00EF7812" w:rsidRDefault="003372A0" w:rsidP="003372A0">
      <w:pPr>
        <w:numPr>
          <w:ilvl w:val="0"/>
          <w:numId w:val="14"/>
        </w:numPr>
        <w:shd w:val="clear" w:color="auto" w:fill="FFFFFF"/>
        <w:spacing w:before="100" w:beforeAutospacing="1" w:after="100" w:afterAutospacing="1"/>
        <w:ind w:right="150" w:firstLine="207"/>
        <w:jc w:val="both"/>
        <w:rPr>
          <w:rFonts w:ascii="Century Gothic" w:hAnsi="Century Gothic"/>
        </w:rPr>
      </w:pPr>
      <w:r w:rsidRPr="00EF7812">
        <w:rPr>
          <w:rFonts w:ascii="Century Gothic" w:hAnsi="Century Gothic"/>
        </w:rPr>
        <w:t>Comunicação à outra área relativa à falta de dados relativos a Nota Fiscal que impedem os lançamentos dos pagamentos,</w:t>
      </w:r>
    </w:p>
    <w:p w14:paraId="13A4F279" w14:textId="77777777" w:rsidR="003372A0" w:rsidRDefault="003372A0" w:rsidP="003372A0">
      <w:pPr>
        <w:numPr>
          <w:ilvl w:val="0"/>
          <w:numId w:val="14"/>
        </w:numPr>
        <w:shd w:val="clear" w:color="auto" w:fill="FFFFFF"/>
        <w:spacing w:before="100" w:beforeAutospacing="1" w:after="100" w:afterAutospacing="1"/>
        <w:ind w:right="150" w:firstLine="207"/>
        <w:jc w:val="both"/>
        <w:rPr>
          <w:rFonts w:ascii="Century Gothic" w:hAnsi="Century Gothic"/>
        </w:rPr>
      </w:pPr>
      <w:r w:rsidRPr="00EF7812">
        <w:rPr>
          <w:rFonts w:ascii="Century Gothic" w:hAnsi="Century Gothic"/>
        </w:rPr>
        <w:t>Inteiração com o Tribunal de Contas quando da fiscalização anual;</w:t>
      </w:r>
    </w:p>
    <w:p w14:paraId="39F6C9B3" w14:textId="77777777" w:rsidR="003372A0" w:rsidRDefault="003372A0" w:rsidP="003372A0">
      <w:pPr>
        <w:numPr>
          <w:ilvl w:val="0"/>
          <w:numId w:val="14"/>
        </w:numPr>
        <w:shd w:val="clear" w:color="auto" w:fill="FFFFFF"/>
        <w:spacing w:before="100" w:beforeAutospacing="1" w:after="100" w:afterAutospacing="1"/>
        <w:ind w:right="150" w:firstLine="207"/>
        <w:jc w:val="both"/>
        <w:rPr>
          <w:rFonts w:ascii="Century Gothic" w:hAnsi="Century Gothic"/>
        </w:rPr>
      </w:pPr>
      <w:r>
        <w:rPr>
          <w:rFonts w:ascii="Century Gothic" w:hAnsi="Century Gothic"/>
        </w:rPr>
        <w:t>Transmissão doarquivo ao TCE.</w:t>
      </w:r>
    </w:p>
    <w:p w14:paraId="4BA4A547" w14:textId="77777777" w:rsidR="003372A0" w:rsidRPr="00EF7812" w:rsidRDefault="003372A0" w:rsidP="003372A0">
      <w:pPr>
        <w:shd w:val="clear" w:color="auto" w:fill="FFFFFF"/>
        <w:spacing w:before="100" w:beforeAutospacing="1" w:after="100" w:afterAutospacing="1"/>
        <w:ind w:left="993" w:right="150"/>
        <w:jc w:val="both"/>
        <w:rPr>
          <w:rFonts w:ascii="Century Gothic" w:hAnsi="Century Gothic"/>
        </w:rPr>
      </w:pPr>
    </w:p>
    <w:p w14:paraId="0665790D"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 xml:space="preserve">AUDESP </w:t>
      </w:r>
    </w:p>
    <w:p w14:paraId="7DE19C8B" w14:textId="77777777" w:rsidR="003372A0" w:rsidRDefault="003372A0" w:rsidP="003372A0">
      <w:pPr>
        <w:pStyle w:val="PargrafodaLista"/>
        <w:jc w:val="both"/>
        <w:rPr>
          <w:rFonts w:ascii="Century Gothic" w:hAnsi="Century Gothic"/>
        </w:rPr>
      </w:pPr>
    </w:p>
    <w:p w14:paraId="533F82DF" w14:textId="77777777" w:rsidR="003372A0" w:rsidRDefault="003372A0" w:rsidP="003372A0">
      <w:pPr>
        <w:pStyle w:val="PargrafodaLista"/>
        <w:jc w:val="both"/>
        <w:rPr>
          <w:rFonts w:ascii="Century Gothic" w:hAnsi="Century Gothic"/>
        </w:rPr>
      </w:pPr>
      <w:r>
        <w:rPr>
          <w:rFonts w:ascii="Century Gothic" w:hAnsi="Century Gothic"/>
        </w:rPr>
        <w:t>Informação ao Tribunal de Contas do Estado de São Paulo, desde o processo licitatório  até os pagamentos realizados, conforme legislação pertinente.</w:t>
      </w:r>
    </w:p>
    <w:p w14:paraId="468C80F3" w14:textId="77777777" w:rsidR="003372A0" w:rsidRPr="00EF7812" w:rsidRDefault="003372A0" w:rsidP="003372A0">
      <w:pPr>
        <w:pStyle w:val="PargrafodaLista"/>
        <w:jc w:val="both"/>
        <w:rPr>
          <w:rFonts w:ascii="Century Gothic" w:hAnsi="Century Gothic"/>
        </w:rPr>
      </w:pPr>
    </w:p>
    <w:p w14:paraId="173BBF40" w14:textId="77777777" w:rsidR="003372A0" w:rsidRPr="00EF7812" w:rsidRDefault="003372A0" w:rsidP="003372A0">
      <w:pPr>
        <w:pStyle w:val="PargrafodaLista"/>
        <w:numPr>
          <w:ilvl w:val="0"/>
          <w:numId w:val="23"/>
        </w:numPr>
        <w:shd w:val="clear" w:color="auto" w:fill="FFFFFF"/>
        <w:spacing w:before="100" w:beforeAutospacing="1" w:after="100" w:afterAutospacing="1"/>
        <w:ind w:right="150"/>
        <w:jc w:val="both"/>
        <w:rPr>
          <w:rFonts w:ascii="Century Gothic" w:hAnsi="Century Gothic"/>
        </w:rPr>
      </w:pPr>
      <w:r w:rsidRPr="00EF7812">
        <w:rPr>
          <w:rFonts w:ascii="Century Gothic" w:hAnsi="Century Gothic"/>
        </w:rPr>
        <w:t xml:space="preserve">Participação em reunião visando obter informações pertinentes ao sistema Audesp e posterior orientação aos servidores que irão inserir os dados de pagamento no sistema do Tribunal de Contas; </w:t>
      </w:r>
    </w:p>
    <w:p w14:paraId="6A24ACF9" w14:textId="77777777" w:rsidR="003372A0" w:rsidRPr="00EF7812" w:rsidRDefault="003372A0" w:rsidP="003372A0">
      <w:pPr>
        <w:pStyle w:val="PargrafodaLista"/>
        <w:ind w:left="1620"/>
        <w:jc w:val="both"/>
        <w:rPr>
          <w:rFonts w:ascii="Century Gothic" w:hAnsi="Century Gothic"/>
        </w:rPr>
      </w:pPr>
    </w:p>
    <w:p w14:paraId="1C0CCB8A" w14:textId="30E5B0D1" w:rsidR="003372A0" w:rsidRPr="00EF7812" w:rsidRDefault="003372A0" w:rsidP="003372A0">
      <w:pPr>
        <w:pStyle w:val="PargrafodaLista"/>
        <w:numPr>
          <w:ilvl w:val="0"/>
          <w:numId w:val="19"/>
        </w:numPr>
        <w:spacing w:after="0"/>
        <w:jc w:val="both"/>
        <w:rPr>
          <w:rFonts w:ascii="Century Gothic" w:hAnsi="Century Gothic"/>
        </w:rPr>
      </w:pPr>
      <w:r>
        <w:rPr>
          <w:rFonts w:ascii="Century Gothic" w:hAnsi="Century Gothic"/>
        </w:rPr>
        <w:t xml:space="preserve"> Elaboração de r</w:t>
      </w:r>
      <w:r w:rsidRPr="00EF7812">
        <w:rPr>
          <w:rFonts w:ascii="Century Gothic" w:hAnsi="Century Gothic"/>
        </w:rPr>
        <w:t>elatório informando o saldo relativo as receitas e despesas oriundas dos fundos especiais</w:t>
      </w:r>
      <w:r>
        <w:rPr>
          <w:rFonts w:ascii="Century Gothic" w:hAnsi="Century Gothic"/>
        </w:rPr>
        <w:t xml:space="preserve"> </w:t>
      </w:r>
      <w:r w:rsidR="00886300">
        <w:rPr>
          <w:rFonts w:ascii="Century Gothic" w:hAnsi="Century Gothic"/>
        </w:rPr>
        <w:t>–</w:t>
      </w:r>
      <w:r>
        <w:rPr>
          <w:rFonts w:ascii="Century Gothic" w:hAnsi="Century Gothic"/>
        </w:rPr>
        <w:t xml:space="preserve"> Disponibilidade</w:t>
      </w:r>
      <w:r w:rsidR="00886300">
        <w:rPr>
          <w:rFonts w:ascii="Century Gothic" w:hAnsi="Century Gothic"/>
        </w:rPr>
        <w:t xml:space="preserve"> Financeira</w:t>
      </w:r>
      <w:r w:rsidRPr="00EF7812">
        <w:rPr>
          <w:rFonts w:ascii="Century Gothic" w:hAnsi="Century Gothic"/>
        </w:rPr>
        <w:t>;</w:t>
      </w:r>
    </w:p>
    <w:p w14:paraId="31E92302" w14:textId="77777777" w:rsidR="003372A0" w:rsidRPr="00EF7812" w:rsidRDefault="003372A0" w:rsidP="003372A0">
      <w:pPr>
        <w:pStyle w:val="PargrafodaLista"/>
        <w:ind w:left="1620"/>
        <w:jc w:val="both"/>
        <w:rPr>
          <w:rFonts w:ascii="Century Gothic" w:hAnsi="Century Gothic"/>
        </w:rPr>
      </w:pPr>
    </w:p>
    <w:p w14:paraId="57F0CE34" w14:textId="77777777" w:rsidR="003372A0" w:rsidRDefault="003372A0" w:rsidP="003372A0">
      <w:pPr>
        <w:pStyle w:val="PargrafodaLista"/>
        <w:numPr>
          <w:ilvl w:val="0"/>
          <w:numId w:val="19"/>
        </w:numPr>
        <w:spacing w:after="0"/>
        <w:jc w:val="both"/>
        <w:rPr>
          <w:rFonts w:ascii="Century Gothic" w:hAnsi="Century Gothic"/>
        </w:rPr>
      </w:pPr>
      <w:r>
        <w:rPr>
          <w:rFonts w:ascii="Century Gothic" w:hAnsi="Century Gothic"/>
        </w:rPr>
        <w:t>Elaboração de r</w:t>
      </w:r>
      <w:r w:rsidRPr="00EF7812">
        <w:rPr>
          <w:rFonts w:ascii="Century Gothic" w:hAnsi="Century Gothic"/>
        </w:rPr>
        <w:t xml:space="preserve">elatório informando </w:t>
      </w:r>
      <w:r>
        <w:rPr>
          <w:rFonts w:ascii="Century Gothic" w:hAnsi="Century Gothic"/>
        </w:rPr>
        <w:t>o Fluxo de Caixa;</w:t>
      </w:r>
    </w:p>
    <w:p w14:paraId="4C238FDC" w14:textId="77777777" w:rsidR="003372A0" w:rsidRPr="001757D8" w:rsidRDefault="003372A0" w:rsidP="003372A0">
      <w:pPr>
        <w:pStyle w:val="PargrafodaLista"/>
        <w:rPr>
          <w:rFonts w:ascii="Century Gothic" w:hAnsi="Century Gothic"/>
        </w:rPr>
      </w:pPr>
    </w:p>
    <w:p w14:paraId="0B52C524"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Acompanhamento de legislação pertinente aos Fundos Especiais;</w:t>
      </w:r>
    </w:p>
    <w:p w14:paraId="01619DDF" w14:textId="77777777" w:rsidR="003372A0" w:rsidRPr="00EF7812" w:rsidRDefault="003372A0" w:rsidP="003372A0">
      <w:pPr>
        <w:pStyle w:val="PargrafodaLista"/>
        <w:jc w:val="both"/>
        <w:rPr>
          <w:rFonts w:ascii="Century Gothic" w:hAnsi="Century Gothic"/>
        </w:rPr>
      </w:pPr>
    </w:p>
    <w:p w14:paraId="18F2126F"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Representação da subárea junto a outros órgãos (Secretaria da Fazenda, Corregedoria do Tribunal de Justiça, outro que se fizer necessário) para tratar de assunto afeto à subárea;</w:t>
      </w:r>
    </w:p>
    <w:p w14:paraId="19B9FC6D" w14:textId="77777777" w:rsidR="003372A0" w:rsidRPr="00EF7812" w:rsidRDefault="003372A0" w:rsidP="003372A0">
      <w:pPr>
        <w:pStyle w:val="PargrafodaLista"/>
        <w:jc w:val="both"/>
        <w:rPr>
          <w:rFonts w:ascii="Century Gothic" w:hAnsi="Century Gothic"/>
        </w:rPr>
      </w:pPr>
    </w:p>
    <w:p w14:paraId="0F15A73F"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Atendimento ao Controle Interno do MPSP, com a impressão e confecção de diversos documentos e relatórios para apresentação ao Tribunal de Contas;</w:t>
      </w:r>
    </w:p>
    <w:p w14:paraId="4CBDDC36" w14:textId="77777777" w:rsidR="003372A0" w:rsidRPr="00EF7812" w:rsidRDefault="003372A0" w:rsidP="003372A0">
      <w:pPr>
        <w:pStyle w:val="PargrafodaLista"/>
        <w:ind w:left="709" w:firstLine="270"/>
        <w:jc w:val="both"/>
        <w:rPr>
          <w:rFonts w:ascii="Century Gothic" w:hAnsi="Century Gothic"/>
        </w:rPr>
      </w:pPr>
    </w:p>
    <w:p w14:paraId="2AB5EE47"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Atualização da legislação através de sugestão de texto para publicação;</w:t>
      </w:r>
    </w:p>
    <w:p w14:paraId="2082F61B" w14:textId="77777777" w:rsidR="003372A0" w:rsidRPr="00EF7812" w:rsidRDefault="003372A0" w:rsidP="003372A0">
      <w:pPr>
        <w:pStyle w:val="PargrafodaLista"/>
        <w:ind w:left="709"/>
        <w:jc w:val="both"/>
        <w:rPr>
          <w:rFonts w:ascii="Century Gothic" w:hAnsi="Century Gothic"/>
        </w:rPr>
      </w:pPr>
    </w:p>
    <w:p w14:paraId="5B283B41"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Acompanhamento e análise junto ao Ministério da Justiça com relação à prestação de contas de convênio via SICONV;</w:t>
      </w:r>
    </w:p>
    <w:p w14:paraId="31761776" w14:textId="77777777" w:rsidR="003372A0" w:rsidRPr="00EF7812" w:rsidRDefault="003372A0" w:rsidP="003372A0">
      <w:pPr>
        <w:pStyle w:val="PargrafodaLista"/>
        <w:ind w:left="709"/>
        <w:jc w:val="both"/>
        <w:rPr>
          <w:rFonts w:ascii="Century Gothic" w:hAnsi="Century Gothic"/>
        </w:rPr>
      </w:pPr>
    </w:p>
    <w:p w14:paraId="1A6EE475"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Rodízio periódico de atividades entre os servidores visando homogeneização e segurança para todo o ciclo de atividades;</w:t>
      </w:r>
    </w:p>
    <w:p w14:paraId="2B3F2722" w14:textId="77777777" w:rsidR="003372A0" w:rsidRPr="00EF7812" w:rsidRDefault="003372A0" w:rsidP="003372A0">
      <w:pPr>
        <w:pStyle w:val="PargrafodaLista"/>
        <w:ind w:left="900"/>
        <w:jc w:val="both"/>
        <w:rPr>
          <w:rFonts w:ascii="Century Gothic" w:hAnsi="Century Gothic"/>
        </w:rPr>
      </w:pPr>
    </w:p>
    <w:p w14:paraId="30CD19E5"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Disponibilização de legislação em meio digital (biblioteca virtual);</w:t>
      </w:r>
    </w:p>
    <w:p w14:paraId="4767382A" w14:textId="77777777" w:rsidR="003372A0" w:rsidRPr="00EF7812" w:rsidRDefault="003372A0" w:rsidP="003372A0">
      <w:pPr>
        <w:pStyle w:val="PargrafodaLista"/>
        <w:jc w:val="both"/>
        <w:rPr>
          <w:rFonts w:ascii="Century Gothic" w:hAnsi="Century Gothic"/>
        </w:rPr>
      </w:pPr>
    </w:p>
    <w:p w14:paraId="5DE27228"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 xml:space="preserve">Leitura e acompanhamento do DOE; </w:t>
      </w:r>
    </w:p>
    <w:p w14:paraId="53424CA2" w14:textId="77777777" w:rsidR="003372A0" w:rsidRPr="00EF7812" w:rsidRDefault="003372A0" w:rsidP="003372A0">
      <w:pPr>
        <w:pStyle w:val="PargrafodaLista"/>
        <w:ind w:left="900"/>
        <w:jc w:val="both"/>
        <w:rPr>
          <w:rFonts w:ascii="Century Gothic" w:hAnsi="Century Gothic"/>
        </w:rPr>
      </w:pPr>
    </w:p>
    <w:p w14:paraId="3182D678"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Classificação e arquivamento de publicações de interesse relativo aos Fundos Especiais;</w:t>
      </w:r>
    </w:p>
    <w:p w14:paraId="036A777D" w14:textId="77777777" w:rsidR="003372A0" w:rsidRPr="00EF7812" w:rsidRDefault="003372A0" w:rsidP="003372A0">
      <w:pPr>
        <w:pStyle w:val="PargrafodaLista"/>
        <w:jc w:val="both"/>
        <w:rPr>
          <w:rFonts w:ascii="Century Gothic" w:hAnsi="Century Gothic"/>
        </w:rPr>
      </w:pPr>
    </w:p>
    <w:p w14:paraId="2676AB3D"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Organização dos arquivos da Subárea;</w:t>
      </w:r>
    </w:p>
    <w:p w14:paraId="3193F8CF" w14:textId="77777777" w:rsidR="003372A0" w:rsidRPr="00EF7812" w:rsidRDefault="003372A0" w:rsidP="003372A0">
      <w:pPr>
        <w:pStyle w:val="PargrafodaLista"/>
        <w:ind w:left="900"/>
        <w:jc w:val="both"/>
        <w:rPr>
          <w:rFonts w:ascii="Century Gothic" w:hAnsi="Century Gothic"/>
        </w:rPr>
      </w:pPr>
    </w:p>
    <w:p w14:paraId="14BCF924"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Indicação de servidores para realização de cursos visando o aperfeiçoamento.</w:t>
      </w:r>
    </w:p>
    <w:p w14:paraId="30AE88AF" w14:textId="77777777" w:rsidR="003372A0" w:rsidRPr="00EF7812" w:rsidRDefault="003372A0" w:rsidP="003372A0">
      <w:pPr>
        <w:pStyle w:val="PargrafodaLista"/>
        <w:ind w:left="900"/>
        <w:jc w:val="both"/>
        <w:rPr>
          <w:rFonts w:ascii="Century Gothic" w:hAnsi="Century Gothic"/>
        </w:rPr>
      </w:pPr>
    </w:p>
    <w:p w14:paraId="32BE7AAA"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Solicitação de equipamentos e mobiliário para a subárea;</w:t>
      </w:r>
    </w:p>
    <w:p w14:paraId="5074A479" w14:textId="77777777" w:rsidR="003372A0" w:rsidRPr="00EF7812" w:rsidRDefault="003372A0" w:rsidP="003372A0">
      <w:pPr>
        <w:pStyle w:val="PargrafodaLista"/>
        <w:ind w:left="900"/>
        <w:jc w:val="both"/>
        <w:rPr>
          <w:rFonts w:ascii="Century Gothic" w:hAnsi="Century Gothic"/>
        </w:rPr>
      </w:pPr>
    </w:p>
    <w:p w14:paraId="25D69232"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Elaboração de planilhas que visam facilitar o trabalho diário da subárea.</w:t>
      </w:r>
    </w:p>
    <w:p w14:paraId="33B352A5" w14:textId="77777777" w:rsidR="003372A0" w:rsidRPr="00EF7812" w:rsidRDefault="003372A0" w:rsidP="003372A0">
      <w:pPr>
        <w:pStyle w:val="PargrafodaLista"/>
        <w:ind w:left="900"/>
        <w:jc w:val="both"/>
        <w:rPr>
          <w:rFonts w:ascii="Century Gothic" w:hAnsi="Century Gothic"/>
        </w:rPr>
      </w:pPr>
    </w:p>
    <w:p w14:paraId="01764C8D" w14:textId="77777777" w:rsidR="003372A0" w:rsidRPr="00EF7812" w:rsidRDefault="003372A0" w:rsidP="003372A0">
      <w:pPr>
        <w:pStyle w:val="PargrafodaLista"/>
        <w:numPr>
          <w:ilvl w:val="0"/>
          <w:numId w:val="19"/>
        </w:numPr>
        <w:spacing w:after="0"/>
        <w:jc w:val="both"/>
        <w:rPr>
          <w:rFonts w:ascii="Century Gothic" w:hAnsi="Century Gothic"/>
        </w:rPr>
      </w:pPr>
      <w:r w:rsidRPr="00EF7812">
        <w:rPr>
          <w:rFonts w:ascii="Century Gothic" w:hAnsi="Century Gothic"/>
        </w:rPr>
        <w:t>Controle da frequência dos servidores lotados na SAAT-II.</w:t>
      </w:r>
    </w:p>
    <w:p w14:paraId="32637113" w14:textId="77777777" w:rsidR="003372A0" w:rsidRDefault="003372A0" w:rsidP="003372A0">
      <w:pPr>
        <w:ind w:left="180"/>
        <w:jc w:val="both"/>
        <w:rPr>
          <w:rFonts w:ascii="Century Gothic" w:hAnsi="Century Gothic"/>
          <w:b/>
        </w:rPr>
      </w:pPr>
    </w:p>
    <w:p w14:paraId="2BF5B40E" w14:textId="77777777" w:rsidR="003372A0" w:rsidRPr="00EF7812" w:rsidRDefault="003372A0" w:rsidP="003372A0">
      <w:pPr>
        <w:ind w:left="180"/>
        <w:jc w:val="both"/>
        <w:rPr>
          <w:rFonts w:ascii="Century Gothic" w:hAnsi="Century Gothic"/>
          <w:b/>
        </w:rPr>
      </w:pPr>
      <w:r w:rsidRPr="00EF7812">
        <w:rPr>
          <w:rFonts w:ascii="Century Gothic" w:hAnsi="Century Gothic"/>
          <w:b/>
        </w:rPr>
        <w:t>Atividades de âmbito contábil</w:t>
      </w:r>
      <w:r>
        <w:rPr>
          <w:rFonts w:ascii="Century Gothic" w:hAnsi="Century Gothic"/>
          <w:b/>
        </w:rPr>
        <w:t>:</w:t>
      </w:r>
    </w:p>
    <w:p w14:paraId="0C094D60" w14:textId="77777777" w:rsidR="003372A0" w:rsidRPr="00EF7812" w:rsidRDefault="003372A0" w:rsidP="003372A0">
      <w:pPr>
        <w:ind w:left="180"/>
        <w:jc w:val="both"/>
        <w:rPr>
          <w:rFonts w:ascii="Century Gothic" w:hAnsi="Century Gothic"/>
        </w:rPr>
      </w:pPr>
      <w:r w:rsidRPr="00EF7812">
        <w:rPr>
          <w:rFonts w:ascii="Century Gothic" w:hAnsi="Century Gothic"/>
        </w:rPr>
        <w:tab/>
        <w:t>Demonstrativos:</w:t>
      </w:r>
    </w:p>
    <w:p w14:paraId="5BEA1442"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Emissão de boletins de caixa mensais;</w:t>
      </w:r>
    </w:p>
    <w:p w14:paraId="3E1808E6" w14:textId="77777777" w:rsidR="003372A0" w:rsidRPr="00EF7812" w:rsidRDefault="003372A0" w:rsidP="003372A0">
      <w:pPr>
        <w:pStyle w:val="PargrafodaLista"/>
        <w:jc w:val="both"/>
        <w:rPr>
          <w:rFonts w:ascii="Century Gothic" w:hAnsi="Century Gothic"/>
        </w:rPr>
      </w:pPr>
    </w:p>
    <w:p w14:paraId="3B1A2457"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Elaboração de balancetes demonstrando a movimentação dos recursos financeiros;</w:t>
      </w:r>
    </w:p>
    <w:p w14:paraId="74F0EDB3" w14:textId="77777777" w:rsidR="003372A0" w:rsidRPr="00EF7812" w:rsidRDefault="003372A0" w:rsidP="003372A0">
      <w:pPr>
        <w:pStyle w:val="PargrafodaLista"/>
        <w:jc w:val="both"/>
        <w:rPr>
          <w:rFonts w:ascii="Century Gothic" w:hAnsi="Century Gothic"/>
        </w:rPr>
      </w:pPr>
    </w:p>
    <w:p w14:paraId="59DBF2E6"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Elaboração de balanço de fechamento de todas as receitas creditadas nos extratos bancários;</w:t>
      </w:r>
    </w:p>
    <w:p w14:paraId="66023998" w14:textId="77777777" w:rsidR="003372A0" w:rsidRPr="00EF7812" w:rsidRDefault="003372A0" w:rsidP="003372A0">
      <w:pPr>
        <w:pStyle w:val="PargrafodaLista"/>
        <w:jc w:val="both"/>
        <w:rPr>
          <w:rFonts w:ascii="Century Gothic" w:hAnsi="Century Gothic"/>
        </w:rPr>
      </w:pPr>
    </w:p>
    <w:p w14:paraId="7E686677"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Das receitas afetas aos fundos, tais como: emolumentos – Lei 11331/2002, serviços MP, locação do espaço físico ao Banco do Brasil, concursos públicos, etc.…;</w:t>
      </w:r>
    </w:p>
    <w:p w14:paraId="062FD2CD" w14:textId="77777777" w:rsidR="003372A0" w:rsidRPr="00EF7812" w:rsidRDefault="003372A0" w:rsidP="003372A0">
      <w:pPr>
        <w:pStyle w:val="PargrafodaLista"/>
        <w:jc w:val="both"/>
        <w:rPr>
          <w:rFonts w:ascii="Century Gothic" w:hAnsi="Century Gothic"/>
        </w:rPr>
      </w:pPr>
    </w:p>
    <w:p w14:paraId="73B6C7C7"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Das receitas oriundas dos rendimentos das aplicações;</w:t>
      </w:r>
    </w:p>
    <w:p w14:paraId="461B1E2B" w14:textId="77777777" w:rsidR="003372A0" w:rsidRPr="00EF7812" w:rsidRDefault="003372A0" w:rsidP="003372A0">
      <w:pPr>
        <w:pStyle w:val="PargrafodaLista"/>
        <w:jc w:val="both"/>
        <w:rPr>
          <w:rFonts w:ascii="Century Gothic" w:hAnsi="Century Gothic"/>
        </w:rPr>
      </w:pPr>
    </w:p>
    <w:p w14:paraId="196141A6"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Da folha de pagamento dos professores que ministram aulas na ESMP – UGE: Fundo 270031;</w:t>
      </w:r>
    </w:p>
    <w:p w14:paraId="4320319B" w14:textId="77777777" w:rsidR="003372A0" w:rsidRPr="00EF7812" w:rsidRDefault="003372A0" w:rsidP="003372A0">
      <w:pPr>
        <w:pStyle w:val="PargrafodaLista"/>
        <w:jc w:val="both"/>
        <w:rPr>
          <w:rFonts w:ascii="Century Gothic" w:hAnsi="Century Gothic"/>
        </w:rPr>
      </w:pPr>
    </w:p>
    <w:p w14:paraId="451BD8E8"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De os pagamentos de fornecedores;</w:t>
      </w:r>
    </w:p>
    <w:p w14:paraId="585D0EB4" w14:textId="77777777" w:rsidR="003372A0" w:rsidRPr="00EF7812" w:rsidRDefault="003372A0" w:rsidP="003372A0">
      <w:pPr>
        <w:pStyle w:val="PargrafodaLista"/>
        <w:jc w:val="both"/>
        <w:rPr>
          <w:rFonts w:ascii="Century Gothic" w:hAnsi="Century Gothic"/>
        </w:rPr>
      </w:pPr>
    </w:p>
    <w:p w14:paraId="0509E1BE" w14:textId="77777777" w:rsidR="003372A0" w:rsidRPr="00EF7812"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Das despesas de cobranças bancárias;</w:t>
      </w:r>
    </w:p>
    <w:p w14:paraId="6725DB09" w14:textId="77777777" w:rsidR="003372A0" w:rsidRPr="00EF7812" w:rsidRDefault="003372A0" w:rsidP="003372A0">
      <w:pPr>
        <w:pStyle w:val="PargrafodaLista"/>
        <w:jc w:val="both"/>
        <w:rPr>
          <w:rFonts w:ascii="Century Gothic" w:hAnsi="Century Gothic"/>
        </w:rPr>
      </w:pPr>
    </w:p>
    <w:p w14:paraId="3250DE22" w14:textId="77777777" w:rsidR="003372A0" w:rsidRDefault="003372A0" w:rsidP="003372A0">
      <w:pPr>
        <w:pStyle w:val="PargrafodaLista"/>
        <w:numPr>
          <w:ilvl w:val="0"/>
          <w:numId w:val="22"/>
        </w:numPr>
        <w:spacing w:after="0"/>
        <w:jc w:val="both"/>
        <w:rPr>
          <w:rFonts w:ascii="Century Gothic" w:hAnsi="Century Gothic"/>
        </w:rPr>
      </w:pPr>
      <w:r w:rsidRPr="00EF7812">
        <w:rPr>
          <w:rFonts w:ascii="Century Gothic" w:hAnsi="Century Gothic"/>
        </w:rPr>
        <w:t>Acerto contábil de lançamentos realizados no SIAFEM;</w:t>
      </w:r>
    </w:p>
    <w:p w14:paraId="63668D79" w14:textId="77777777" w:rsidR="003372A0" w:rsidRPr="007C5647" w:rsidRDefault="003372A0" w:rsidP="003372A0">
      <w:pPr>
        <w:pStyle w:val="PargrafodaLista"/>
        <w:rPr>
          <w:rFonts w:ascii="Century Gothic" w:hAnsi="Century Gothic"/>
        </w:rPr>
      </w:pPr>
    </w:p>
    <w:p w14:paraId="704E53F7" w14:textId="77777777" w:rsidR="003372A0" w:rsidRPr="00EF7812" w:rsidRDefault="003372A0" w:rsidP="003372A0">
      <w:pPr>
        <w:jc w:val="both"/>
        <w:rPr>
          <w:rFonts w:ascii="Century Gothic" w:hAnsi="Century Gothic"/>
        </w:rPr>
      </w:pPr>
    </w:p>
    <w:p w14:paraId="07F811FC" w14:textId="77777777" w:rsidR="003372A0" w:rsidRPr="00EF7812" w:rsidRDefault="003372A0" w:rsidP="003372A0">
      <w:pPr>
        <w:ind w:left="180"/>
        <w:jc w:val="both"/>
        <w:rPr>
          <w:rFonts w:ascii="Century Gothic" w:hAnsi="Century Gothic"/>
          <w:b/>
        </w:rPr>
      </w:pPr>
      <w:r w:rsidRPr="00EF7812">
        <w:rPr>
          <w:rFonts w:ascii="Century Gothic" w:hAnsi="Century Gothic"/>
          <w:b/>
        </w:rPr>
        <w:t>Atividades de âmbito operacional:</w:t>
      </w:r>
    </w:p>
    <w:p w14:paraId="52D6AFB6" w14:textId="77777777" w:rsidR="003372A0" w:rsidRDefault="003372A0" w:rsidP="003372A0">
      <w:pPr>
        <w:ind w:left="180"/>
        <w:jc w:val="both"/>
        <w:rPr>
          <w:rFonts w:ascii="Century Gothic" w:hAnsi="Century Gothic"/>
        </w:rPr>
      </w:pPr>
      <w:r>
        <w:rPr>
          <w:rFonts w:ascii="Century Gothic" w:hAnsi="Century Gothic"/>
        </w:rPr>
        <w:t>Dividiremos as atividades da subárea de âmbito operacional em duas vertentes – receita (entrada de recurso próprio) e despesa (pagamentos realizados com recurso próprio) a seguir de forma concisa elencados:</w:t>
      </w:r>
    </w:p>
    <w:p w14:paraId="111FB7AE" w14:textId="77777777" w:rsidR="003372A0" w:rsidRDefault="003372A0" w:rsidP="003372A0">
      <w:pPr>
        <w:ind w:left="180"/>
        <w:jc w:val="both"/>
        <w:rPr>
          <w:rFonts w:ascii="Century Gothic" w:hAnsi="Century Gothic"/>
          <w:u w:val="single"/>
        </w:rPr>
      </w:pPr>
    </w:p>
    <w:p w14:paraId="08D64A88" w14:textId="77777777" w:rsidR="003372A0" w:rsidRDefault="003372A0" w:rsidP="003372A0">
      <w:pPr>
        <w:ind w:left="180"/>
        <w:jc w:val="both"/>
        <w:rPr>
          <w:rFonts w:ascii="Century Gothic" w:hAnsi="Century Gothic"/>
          <w:u w:val="single"/>
        </w:rPr>
      </w:pPr>
    </w:p>
    <w:p w14:paraId="1FF5FF5A" w14:textId="77777777" w:rsidR="003372A0" w:rsidRPr="007C5647" w:rsidRDefault="003372A0" w:rsidP="003372A0">
      <w:pPr>
        <w:ind w:left="180"/>
        <w:jc w:val="both"/>
        <w:rPr>
          <w:rFonts w:ascii="Century Gothic" w:hAnsi="Century Gothic"/>
          <w:b/>
          <w:u w:val="single"/>
        </w:rPr>
      </w:pPr>
      <w:r w:rsidRPr="007C5647">
        <w:rPr>
          <w:rFonts w:ascii="Century Gothic" w:hAnsi="Century Gothic"/>
          <w:b/>
          <w:u w:val="single"/>
        </w:rPr>
        <w:t>Quanto a Receita</w:t>
      </w:r>
    </w:p>
    <w:p w14:paraId="3B51DF29" w14:textId="77777777" w:rsidR="003372A0" w:rsidRPr="00EF7812" w:rsidRDefault="003372A0" w:rsidP="003372A0">
      <w:pPr>
        <w:ind w:left="180"/>
        <w:jc w:val="both"/>
        <w:rPr>
          <w:rFonts w:ascii="Century Gothic" w:hAnsi="Century Gothic"/>
        </w:rPr>
      </w:pPr>
    </w:p>
    <w:p w14:paraId="4EEAFBF7" w14:textId="77777777" w:rsidR="003372A0" w:rsidRPr="00EF7812" w:rsidRDefault="003372A0" w:rsidP="003372A0">
      <w:pPr>
        <w:ind w:left="180"/>
        <w:jc w:val="both"/>
        <w:rPr>
          <w:rFonts w:ascii="Century Gothic" w:hAnsi="Century Gothic"/>
        </w:rPr>
      </w:pPr>
      <w:r w:rsidRPr="00EF7812">
        <w:rPr>
          <w:rFonts w:ascii="Century Gothic" w:hAnsi="Century Gothic"/>
        </w:rPr>
        <w:t>Registro da receita</w:t>
      </w:r>
    </w:p>
    <w:p w14:paraId="27D104EE"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Acesso diário ao site do Banco do Brasil para consulta dos extratos das contas dos três Fundos Especiais de Despesa, bem como arquivamento virtual em formato PDF no diretório Bibli_CFC para consulta futura;</w:t>
      </w:r>
    </w:p>
    <w:p w14:paraId="18B6DBE8" w14:textId="77777777" w:rsidR="003372A0" w:rsidRDefault="003372A0" w:rsidP="003372A0">
      <w:pPr>
        <w:pStyle w:val="PargrafodaLista"/>
        <w:jc w:val="both"/>
        <w:rPr>
          <w:rFonts w:ascii="Century Gothic" w:hAnsi="Century Gothic"/>
        </w:rPr>
      </w:pPr>
    </w:p>
    <w:p w14:paraId="3A1F04A9"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 xml:space="preserve">Alimentação diária de duas planilhas Excel com os dados do extrato: </w:t>
      </w:r>
    </w:p>
    <w:p w14:paraId="530295C5" w14:textId="77777777" w:rsidR="003372A0" w:rsidRPr="00EF7812" w:rsidRDefault="003372A0" w:rsidP="003372A0">
      <w:pPr>
        <w:pStyle w:val="PargrafodaLista"/>
        <w:jc w:val="both"/>
        <w:rPr>
          <w:rFonts w:ascii="Century Gothic" w:hAnsi="Century Gothic"/>
        </w:rPr>
      </w:pPr>
    </w:p>
    <w:p w14:paraId="25388042" w14:textId="77777777" w:rsidR="003372A0" w:rsidRPr="00EF7812" w:rsidRDefault="003372A0" w:rsidP="003372A0">
      <w:pPr>
        <w:pStyle w:val="PargrafodaLista"/>
        <w:numPr>
          <w:ilvl w:val="0"/>
          <w:numId w:val="18"/>
        </w:numPr>
        <w:ind w:left="1276" w:hanging="283"/>
        <w:jc w:val="both"/>
        <w:rPr>
          <w:rFonts w:ascii="Century Gothic" w:hAnsi="Century Gothic"/>
        </w:rPr>
      </w:pPr>
      <w:r w:rsidRPr="00EF7812">
        <w:rPr>
          <w:rFonts w:ascii="Century Gothic" w:hAnsi="Century Gothic"/>
        </w:rPr>
        <w:t xml:space="preserve">A primeira consiste na cópia dos dados do extrato bancário para formação de um banco de dados e utilização no processo de conciliação bancária dos repasses de emolumentos extrajudiciais efetuados pelos cartórios, </w:t>
      </w:r>
    </w:p>
    <w:p w14:paraId="039D27B7" w14:textId="77777777" w:rsidR="003372A0" w:rsidRPr="00EF7812" w:rsidRDefault="003372A0" w:rsidP="003372A0">
      <w:pPr>
        <w:pStyle w:val="PargrafodaLista"/>
        <w:numPr>
          <w:ilvl w:val="0"/>
          <w:numId w:val="18"/>
        </w:numPr>
        <w:ind w:left="1276" w:hanging="283"/>
        <w:jc w:val="both"/>
        <w:rPr>
          <w:rFonts w:ascii="Century Gothic" w:hAnsi="Century Gothic"/>
        </w:rPr>
      </w:pPr>
      <w:r w:rsidRPr="00EF7812">
        <w:rPr>
          <w:rFonts w:ascii="Century Gothic" w:hAnsi="Century Gothic"/>
        </w:rPr>
        <w:t>A segunda que, a partir de fórmulas pré-existentes, fornece os valores a serem contabilizados por tipo de receita/despesa;</w:t>
      </w:r>
    </w:p>
    <w:p w14:paraId="3F0952C0" w14:textId="77777777" w:rsidR="003372A0" w:rsidRPr="00EF7812" w:rsidRDefault="003372A0" w:rsidP="003372A0">
      <w:pPr>
        <w:pStyle w:val="PargrafodaLista"/>
        <w:ind w:left="1276" w:hanging="283"/>
        <w:jc w:val="both"/>
        <w:rPr>
          <w:rFonts w:ascii="Century Gothic" w:hAnsi="Century Gothic"/>
        </w:rPr>
      </w:pPr>
    </w:p>
    <w:p w14:paraId="63B85D39"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Download, no site do Banco do Brasil, do arquivo CNAB para importação no portal “FED-API”, o qual possui interface com o Sistema Eletrônico de Arrecadação de Emolumentos para confirmação dos pagamentos realizados via boleto bancário;</w:t>
      </w:r>
    </w:p>
    <w:p w14:paraId="32DD4CDE" w14:textId="77777777" w:rsidR="003372A0" w:rsidRPr="00EF7812" w:rsidRDefault="003372A0" w:rsidP="003372A0">
      <w:pPr>
        <w:pStyle w:val="PargrafodaLista"/>
        <w:jc w:val="both"/>
        <w:rPr>
          <w:rFonts w:ascii="Century Gothic" w:hAnsi="Century Gothic"/>
        </w:rPr>
      </w:pPr>
    </w:p>
    <w:p w14:paraId="6EDAAF78"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Contabilização, no SIAFEM, dos valores recebidos relativos a emolumentos extrajudiciais (principal e encargos moratórios, separadamente), serviços MP (emissão de certid</w:t>
      </w:r>
      <w:r>
        <w:rPr>
          <w:rFonts w:ascii="Century Gothic" w:hAnsi="Century Gothic"/>
        </w:rPr>
        <w:t>ões, cópias de processos, etc.</w:t>
      </w:r>
      <w:r w:rsidRPr="00EF7812">
        <w:rPr>
          <w:rFonts w:ascii="Century Gothic" w:hAnsi="Century Gothic"/>
        </w:rPr>
        <w:t>), cessão de espaço para funcionamento de agência bancária do Banco do Brasil no prédio sede do Ministério Público, concurso de servidores e de multas contratuais, para registro da receita própria da UG 270033;</w:t>
      </w:r>
    </w:p>
    <w:p w14:paraId="568A9218" w14:textId="77777777" w:rsidR="003372A0" w:rsidRPr="00EF7812" w:rsidRDefault="003372A0" w:rsidP="003372A0">
      <w:pPr>
        <w:pStyle w:val="PargrafodaLista"/>
        <w:jc w:val="both"/>
        <w:rPr>
          <w:rFonts w:ascii="Century Gothic" w:hAnsi="Century Gothic"/>
        </w:rPr>
      </w:pPr>
    </w:p>
    <w:p w14:paraId="1D13742B"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Contabilização, no SIAFEM, dos valores recebidos relativos à Cursos, concursos de estagiários, para registro da receita própria da UG 270031;</w:t>
      </w:r>
    </w:p>
    <w:p w14:paraId="0E5C5A1C" w14:textId="77777777" w:rsidR="003372A0" w:rsidRPr="00EF7812" w:rsidRDefault="003372A0" w:rsidP="003372A0">
      <w:pPr>
        <w:pStyle w:val="PargrafodaLista"/>
        <w:jc w:val="both"/>
        <w:rPr>
          <w:rFonts w:ascii="Century Gothic" w:hAnsi="Century Gothic"/>
        </w:rPr>
      </w:pPr>
    </w:p>
    <w:p w14:paraId="07F99867"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Contabilização, no SIAFEM, dos valores recebidos relativos à Concurso de Membros, para registro da receita própria da UG 270030;</w:t>
      </w:r>
    </w:p>
    <w:p w14:paraId="0D584BB0" w14:textId="77777777" w:rsidR="003372A0" w:rsidRPr="00EF7812" w:rsidRDefault="003372A0" w:rsidP="003372A0">
      <w:pPr>
        <w:pStyle w:val="PargrafodaLista"/>
        <w:jc w:val="both"/>
        <w:rPr>
          <w:rFonts w:ascii="Century Gothic" w:hAnsi="Century Gothic"/>
        </w:rPr>
      </w:pPr>
    </w:p>
    <w:p w14:paraId="0F5C4F1F"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Envio dos dados, pelo SEI - Sistema Eletrônico de Informações, para a Assistência Técnica do CFC visando à aplicação financeira dos recursos das UGs 270030, 270031 e 270033;</w:t>
      </w:r>
    </w:p>
    <w:p w14:paraId="635403DE" w14:textId="77777777" w:rsidR="003372A0" w:rsidRPr="00EF7812" w:rsidRDefault="003372A0" w:rsidP="003372A0">
      <w:pPr>
        <w:pStyle w:val="PargrafodaLista"/>
        <w:jc w:val="both"/>
        <w:rPr>
          <w:rFonts w:ascii="Century Gothic" w:hAnsi="Century Gothic"/>
        </w:rPr>
      </w:pPr>
    </w:p>
    <w:p w14:paraId="292550EA"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Emissão mensal de NL (Nota de Lançamento) para contabilização dos rendimentos das aplicações financeiras das UGs 270030, 270031 e 270033;</w:t>
      </w:r>
    </w:p>
    <w:p w14:paraId="179DDEC0" w14:textId="77777777" w:rsidR="003372A0" w:rsidRPr="00EF7812" w:rsidRDefault="003372A0" w:rsidP="003372A0">
      <w:pPr>
        <w:pStyle w:val="PargrafodaLista"/>
        <w:jc w:val="both"/>
        <w:rPr>
          <w:rFonts w:ascii="Century Gothic" w:hAnsi="Century Gothic"/>
        </w:rPr>
      </w:pPr>
    </w:p>
    <w:p w14:paraId="1E773901"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Preenchimento de planilha Excel de controle das GRs (Guias de Recebimento) emitidas no SIAFEM referentes aos emolumentos, serviços MP, tarifas bancárias, entre outros, com indicação da quantidade de boletos emitidos, valor total e número da GR contabilizada das UGs 270030, 270031 e 270033.</w:t>
      </w:r>
    </w:p>
    <w:p w14:paraId="5ED29941" w14:textId="77777777" w:rsidR="003372A0" w:rsidRPr="00EF7812" w:rsidRDefault="003372A0" w:rsidP="003372A0">
      <w:pPr>
        <w:pStyle w:val="PargrafodaLista"/>
        <w:jc w:val="both"/>
        <w:rPr>
          <w:rFonts w:ascii="Century Gothic" w:hAnsi="Century Gothic"/>
        </w:rPr>
      </w:pPr>
    </w:p>
    <w:p w14:paraId="504E2DCD" w14:textId="77777777" w:rsidR="003372A0" w:rsidRDefault="003372A0" w:rsidP="003372A0">
      <w:pPr>
        <w:pStyle w:val="PargrafodaLista"/>
        <w:numPr>
          <w:ilvl w:val="0"/>
          <w:numId w:val="10"/>
        </w:numPr>
        <w:jc w:val="both"/>
        <w:rPr>
          <w:rFonts w:ascii="Century Gothic" w:hAnsi="Century Gothic"/>
        </w:rPr>
      </w:pPr>
      <w:r w:rsidRPr="00EF7812">
        <w:rPr>
          <w:rFonts w:ascii="Century Gothic" w:hAnsi="Century Gothic"/>
        </w:rPr>
        <w:t xml:space="preserve"> Proposta de melhorias no que se refere ao desenvolvimento e aperfeiçoamento do Sistema Eletrônico de Arrecadação de Emolumentos, cabendo à Subárea de Fundos Especiais homologar as novas versões/ajustes no sistema;</w:t>
      </w:r>
    </w:p>
    <w:p w14:paraId="623FED7C" w14:textId="77777777" w:rsidR="003372A0" w:rsidRPr="000F441E" w:rsidRDefault="003372A0" w:rsidP="003372A0">
      <w:pPr>
        <w:pStyle w:val="PargrafodaLista"/>
        <w:rPr>
          <w:rFonts w:ascii="Century Gothic" w:hAnsi="Century Gothic"/>
        </w:rPr>
      </w:pPr>
    </w:p>
    <w:p w14:paraId="498689FC" w14:textId="77777777" w:rsidR="003372A0" w:rsidRPr="00DE0E2F" w:rsidRDefault="003372A0" w:rsidP="003372A0">
      <w:pPr>
        <w:pStyle w:val="PargrafodaLista"/>
        <w:numPr>
          <w:ilvl w:val="0"/>
          <w:numId w:val="10"/>
        </w:numPr>
        <w:spacing w:line="360" w:lineRule="auto"/>
        <w:jc w:val="both"/>
        <w:rPr>
          <w:rFonts w:ascii="Century Gothic" w:hAnsi="Century Gothic"/>
        </w:rPr>
      </w:pPr>
      <w:r w:rsidRPr="00DE0E2F">
        <w:rPr>
          <w:rFonts w:ascii="Century Gothic" w:hAnsi="Century Gothic"/>
        </w:rPr>
        <w:t>Conciliação bancária dos repasses de emolumentos extrajudiciais efetuados pelos cartórios, o que envolve:</w:t>
      </w:r>
    </w:p>
    <w:p w14:paraId="49685D84" w14:textId="77777777" w:rsidR="003372A0" w:rsidRPr="00DE0E2F" w:rsidRDefault="003372A0" w:rsidP="003372A0">
      <w:pPr>
        <w:pStyle w:val="PargrafodaLista"/>
        <w:spacing w:line="360" w:lineRule="auto"/>
        <w:rPr>
          <w:rFonts w:ascii="Century Gothic" w:hAnsi="Century Gothic"/>
        </w:rPr>
      </w:pPr>
    </w:p>
    <w:p w14:paraId="43D86A0B"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Montagem da capa do processo e confecção da etiqueta com os dados do cartório;</w:t>
      </w:r>
    </w:p>
    <w:p w14:paraId="606900B6"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Levantamento dos dados do extrato bancário em comparação com os valores declarados pelos cartórios no Sistema Eletrônico de Arrecadação de Emolumentos;</w:t>
      </w:r>
    </w:p>
    <w:p w14:paraId="374D225B"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Verificação da consistência dos valores declarados ao Ministério Público com aqueles que foram informados e pagos ao Tribunal de Justiça;</w:t>
      </w:r>
    </w:p>
    <w:p w14:paraId="252BC78A"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Comunicação com os cartórios, por e-mail ou telefone, para solicitação de documentos, providências e/ou esclarecimentos;</w:t>
      </w:r>
    </w:p>
    <w:p w14:paraId="1B92C1BE"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Emissão de relatório pelo responsável pela conciliação com descrição dos fatos e apontamento dos débitos apurados, solicitando autorização para cobrança;</w:t>
      </w:r>
    </w:p>
    <w:p w14:paraId="681F49DF"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Autorização concedida pelos superiores hierárquicos e, no caso específico de ter havido compensação de créditos em favor da serventia, autorização prévia do ordenador de despesa (Diretor-Geral);</w:t>
      </w:r>
    </w:p>
    <w:p w14:paraId="1361E487"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Envio de e-mail para o responsável pelo cartório, comunicando os débitos apurados e o procedimento para liquidação, o que se dá concomitantemente à liberação dos valores no sistema pelo superior hierárquico para que o próprio cartório faça a emissão do boleto;</w:t>
      </w:r>
    </w:p>
    <w:p w14:paraId="2D88D3D4"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Follow-up do caso para fins de verificação do pagamento;</w:t>
      </w:r>
    </w:p>
    <w:p w14:paraId="75333C1C"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Emissão de relatório final relatando a regularização das pendências e propondo o arquivamento, a ser autorizado pelos superiores hierárquicos</w:t>
      </w:r>
      <w:r w:rsidRPr="00DE0E2F">
        <w:rPr>
          <w:sz w:val="24"/>
        </w:rPr>
        <w:t>.</w:t>
      </w:r>
    </w:p>
    <w:p w14:paraId="4996050B" w14:textId="77777777" w:rsidR="003372A0" w:rsidRPr="00DE0E2F" w:rsidRDefault="003372A0" w:rsidP="003372A0">
      <w:pPr>
        <w:pStyle w:val="PargrafodaLista"/>
        <w:numPr>
          <w:ilvl w:val="0"/>
          <w:numId w:val="28"/>
        </w:numPr>
        <w:spacing w:line="360" w:lineRule="auto"/>
        <w:jc w:val="both"/>
        <w:rPr>
          <w:rFonts w:ascii="Century Gothic" w:hAnsi="Century Gothic"/>
        </w:rPr>
      </w:pPr>
      <w:r w:rsidRPr="00DE0E2F">
        <w:rPr>
          <w:rFonts w:ascii="Century Gothic" w:hAnsi="Century Gothic"/>
        </w:rPr>
        <w:t>Atualização planilha Excel de controle geral das conciliações, após atribuição do responsável. Obs.: esta planilha deve ser preenchida durante todo o procedimento conciliatório, pois contém os dados relativos ao período conciliado, eventual valor recuperado, status do processo (não iniciado, em andamento, concluído, arquivado e dívida ativa), informações sobre cheques devolvidos e pedidos de devolução, entre outras;</w:t>
      </w:r>
    </w:p>
    <w:p w14:paraId="1B4C4F0A" w14:textId="77777777" w:rsidR="003372A0" w:rsidRPr="000F441E" w:rsidRDefault="003372A0" w:rsidP="003372A0">
      <w:pPr>
        <w:pStyle w:val="PargrafodaLista"/>
        <w:rPr>
          <w:rFonts w:ascii="Century Gothic" w:hAnsi="Century Gothic"/>
        </w:rPr>
      </w:pPr>
    </w:p>
    <w:p w14:paraId="5980F684"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Emissão de Certidão Negativa de Débitos quando solicitada pelo cartório, com criação de processo específico no SEI, assinado eletronicamente pelo Diretor do Centro de Finanças e Contabilidade e no qual consta o código de autenticidade;</w:t>
      </w:r>
    </w:p>
    <w:p w14:paraId="437E1585" w14:textId="77777777" w:rsidR="003372A0" w:rsidRPr="00EF7812" w:rsidRDefault="003372A0" w:rsidP="003372A0">
      <w:pPr>
        <w:pStyle w:val="PargrafodaLista"/>
        <w:jc w:val="both"/>
        <w:rPr>
          <w:rFonts w:ascii="Century Gothic" w:hAnsi="Century Gothic"/>
        </w:rPr>
      </w:pPr>
    </w:p>
    <w:p w14:paraId="570C7AEA" w14:textId="77777777" w:rsidR="003372A0" w:rsidRPr="00EF7812" w:rsidRDefault="003372A0" w:rsidP="003372A0">
      <w:pPr>
        <w:pStyle w:val="PargrafodaLista"/>
        <w:jc w:val="both"/>
        <w:rPr>
          <w:rFonts w:ascii="Century Gothic" w:hAnsi="Century Gothic"/>
        </w:rPr>
      </w:pPr>
    </w:p>
    <w:p w14:paraId="14D4368E"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Atendimento ao público interno e externo que entram em contato solicitando orientações sobre como emitir o boleto bancário referente aos serviços MP, a exemplo da solicitação de certidões ou cópias de processos;</w:t>
      </w:r>
    </w:p>
    <w:p w14:paraId="2C3DAD5E" w14:textId="77777777" w:rsidR="003372A0" w:rsidRPr="00EF7812" w:rsidRDefault="003372A0" w:rsidP="003372A0">
      <w:pPr>
        <w:pStyle w:val="PargrafodaLista"/>
        <w:jc w:val="both"/>
        <w:rPr>
          <w:rFonts w:ascii="Century Gothic" w:hAnsi="Century Gothic"/>
        </w:rPr>
      </w:pPr>
    </w:p>
    <w:p w14:paraId="5530C970" w14:textId="77777777" w:rsidR="003372A0" w:rsidRPr="00EF7812" w:rsidRDefault="003372A0" w:rsidP="003372A0">
      <w:pPr>
        <w:pStyle w:val="PargrafodaLista"/>
        <w:jc w:val="both"/>
        <w:rPr>
          <w:rFonts w:ascii="Century Gothic" w:hAnsi="Century Gothic"/>
        </w:rPr>
      </w:pPr>
    </w:p>
    <w:p w14:paraId="4BACA2CE"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Atendimento aos cartórios sobre os diversos assuntos envolvendo o repasse dos emolumentos, como eventual problema na emissão do boleto, dúvidas sobre a parte operacional do sistema, dentre outros;</w:t>
      </w:r>
    </w:p>
    <w:p w14:paraId="38EE9FDD" w14:textId="77777777" w:rsidR="003372A0" w:rsidRPr="00EF7812" w:rsidRDefault="003372A0" w:rsidP="003372A0">
      <w:pPr>
        <w:pStyle w:val="PargrafodaLista"/>
        <w:jc w:val="both"/>
        <w:rPr>
          <w:rFonts w:ascii="Century Gothic" w:hAnsi="Century Gothic"/>
        </w:rPr>
      </w:pPr>
    </w:p>
    <w:p w14:paraId="3577B1C2" w14:textId="77777777" w:rsidR="003372A0" w:rsidRPr="00EF7812" w:rsidRDefault="003372A0" w:rsidP="003372A0">
      <w:pPr>
        <w:pStyle w:val="PargrafodaLista"/>
        <w:jc w:val="both"/>
        <w:rPr>
          <w:rFonts w:ascii="Century Gothic" w:hAnsi="Century Gothic"/>
        </w:rPr>
      </w:pPr>
    </w:p>
    <w:p w14:paraId="4BEB3C76"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Processamento de Pedidos de Restituição de Valores, com montagem da capa do processo e confecção da etiqueta com os dados do cartório, para devolução de emolumentos, serviços MP, taxa de inscrição em concurso público (estagiário, servidores ou membros) ou taxa de matrícula nos cursos da ESMP - Escola Superior do Ministério Público:</w:t>
      </w:r>
    </w:p>
    <w:p w14:paraId="1A7B64AB" w14:textId="77777777" w:rsidR="003372A0" w:rsidRPr="00EF7812" w:rsidRDefault="003372A0" w:rsidP="003372A0">
      <w:pPr>
        <w:pStyle w:val="PargrafodaLista"/>
        <w:jc w:val="both"/>
        <w:rPr>
          <w:rFonts w:ascii="Century Gothic" w:hAnsi="Century Gothic"/>
        </w:rPr>
      </w:pPr>
    </w:p>
    <w:p w14:paraId="0AD1B9E2" w14:textId="77777777" w:rsidR="003372A0" w:rsidRPr="00EF7812" w:rsidRDefault="003372A0" w:rsidP="003372A0">
      <w:pPr>
        <w:pStyle w:val="PargrafodaLista"/>
        <w:numPr>
          <w:ilvl w:val="0"/>
          <w:numId w:val="11"/>
        </w:numPr>
        <w:jc w:val="both"/>
        <w:rPr>
          <w:rFonts w:ascii="Century Gothic" w:hAnsi="Century Gothic"/>
        </w:rPr>
      </w:pPr>
      <w:r w:rsidRPr="00EF7812">
        <w:rPr>
          <w:rFonts w:ascii="Century Gothic" w:hAnsi="Century Gothic"/>
        </w:rPr>
        <w:t>No caso dos emolumentos, o cartório faz o preenchimento do Pedido de Restituição de Valores, encaminha-o por e-mail e a equipe da Subárea de Fundos Especiais de Despesa faz o protocolamento. Juntamente com o formulário preenchido deve ser encaminhado o relatório de atos praticados e o comprovante de pagamento como forma de evidenciação do recolhimento indevido ou maior do que o devido. Recebido o Pedido de Restituição é contabilizada a NL de estorno da receita, provisionando o futuro desembolso. O próximo passo é efetuar a conciliação bancária, o que é pré-requisito para a devolução, pois eventuais débitos apurados devem ser descontados do valor objeto do Pedido de Restituição. Concluída a conciliação, é emitido relatório com a descrição dos fatos e com proposta de devolução, a ser autorizada pelo ordenador de despesas (Diretor-Geral). Autorizada a devolução, é autuado o processo respectivo e realizado o cadastro do credor no ContabilizaSP, com posterior emissão da PD e OB. Obs.: todo o procedimento está disciplinado na seção I do Capítulo V do Ato Normativo nº 1.103/2018-PGJ;</w:t>
      </w:r>
    </w:p>
    <w:p w14:paraId="2AD4CAB3" w14:textId="77777777" w:rsidR="003372A0" w:rsidRPr="00EF7812" w:rsidRDefault="003372A0" w:rsidP="003372A0">
      <w:pPr>
        <w:pStyle w:val="PargrafodaLista"/>
        <w:jc w:val="both"/>
        <w:rPr>
          <w:rFonts w:ascii="Century Gothic" w:hAnsi="Century Gothic"/>
        </w:rPr>
      </w:pPr>
    </w:p>
    <w:p w14:paraId="40710653"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Em caso de apuração de débitos de responsabilidade do antigo titular ou interino, é solicitado via SEI ao CAEx pesquisa de endereço, e após expedida, pelo SEI, Notificação de Lançamento com os dados do crédito tributário, assinada eletronicamente pelo Diretor-Geral e encaminhada ao CAEx para realização de diligência consistente na entrega da notificação pessoalmente ao responsável. Não sendo o notificado localizado, é feita a notificação por edital publicado em jornal de grande circulação. Caso o responsável tenha falecido é feito nova consulta ao CAEx, solicitando consulta de herdeiros, apurado o percentual da dívida através de documento que indica como foi realizado a partilha, procede-se a notificação conforme indicado acima;</w:t>
      </w:r>
    </w:p>
    <w:p w14:paraId="4B0C7B10" w14:textId="77777777" w:rsidR="003372A0" w:rsidRDefault="003372A0" w:rsidP="003372A0">
      <w:pPr>
        <w:pStyle w:val="PargrafodaLista"/>
        <w:jc w:val="both"/>
        <w:rPr>
          <w:rFonts w:ascii="Century Gothic" w:hAnsi="Century Gothic"/>
        </w:rPr>
      </w:pPr>
    </w:p>
    <w:p w14:paraId="38D9F7A5" w14:textId="77777777" w:rsidR="003372A0" w:rsidRPr="00EF7812" w:rsidRDefault="003372A0" w:rsidP="003372A0">
      <w:pPr>
        <w:pStyle w:val="PargrafodaLista"/>
        <w:jc w:val="both"/>
        <w:rPr>
          <w:rFonts w:ascii="Century Gothic" w:hAnsi="Century Gothic"/>
        </w:rPr>
      </w:pPr>
    </w:p>
    <w:p w14:paraId="1CFE3ED3"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Consulta ao e-SAJ para verificar a existência de processos envolvendo o cartório, na pessoa de seu titular ou interino. Leitura dos processos existentes para entendimento da apuração em andamento. Elaboração de relatórios para envio ao Juízo ou à Promotoria quando solicitado;</w:t>
      </w:r>
    </w:p>
    <w:p w14:paraId="60BCDBDF" w14:textId="77777777" w:rsidR="003372A0" w:rsidRPr="00EF7812" w:rsidRDefault="003372A0" w:rsidP="003372A0">
      <w:pPr>
        <w:pStyle w:val="PargrafodaLista"/>
        <w:jc w:val="both"/>
        <w:rPr>
          <w:rFonts w:ascii="Century Gothic" w:hAnsi="Century Gothic"/>
        </w:rPr>
      </w:pPr>
    </w:p>
    <w:p w14:paraId="484BF532" w14:textId="77777777" w:rsidR="003372A0" w:rsidRPr="00EF7812" w:rsidRDefault="003372A0" w:rsidP="003372A0">
      <w:pPr>
        <w:pStyle w:val="PargrafodaLista"/>
        <w:jc w:val="both"/>
        <w:rPr>
          <w:rFonts w:ascii="Century Gothic" w:hAnsi="Century Gothic"/>
        </w:rPr>
      </w:pPr>
    </w:p>
    <w:p w14:paraId="250A4A52"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Havendo impugnação da Notificação de Lançamento, é elaborado parecer pelo superior responsável da Subárea de Fundos Especiais de Despesa, que subsidiará a decisão do Diretor-Geral, publicada no Diário Oficial do Estado. Desta decisão caberá recurso para o Procurador-Geral de Justiça, nos termos do art. 10 do Ato Normativo nº 1.103/2018-PGJ;</w:t>
      </w:r>
    </w:p>
    <w:p w14:paraId="16D1E663" w14:textId="77777777" w:rsidR="003372A0" w:rsidRPr="00EF7812" w:rsidRDefault="003372A0" w:rsidP="003372A0">
      <w:pPr>
        <w:pStyle w:val="PargrafodaLista"/>
        <w:jc w:val="both"/>
        <w:rPr>
          <w:rFonts w:ascii="Century Gothic" w:hAnsi="Century Gothic"/>
        </w:rPr>
      </w:pPr>
    </w:p>
    <w:p w14:paraId="0D801918"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Caso não seja apresentada impugnação no prazo estipulado, nos termos do art. 9º do Ato Normativo nº 1.103/2018-PGJ, será elaborado parecer pelo Diretor do Centro de Finanças e Contabilidade, que servirá de base para a decisão do Diretor-Geral que autorizará a inscrição dos débitos na dívida ativa, devendo a decisão ser publicada no Diário Oficial do Estado;</w:t>
      </w:r>
    </w:p>
    <w:p w14:paraId="064F58E2" w14:textId="77777777" w:rsidR="003372A0" w:rsidRPr="00EF7812" w:rsidRDefault="003372A0" w:rsidP="003372A0">
      <w:pPr>
        <w:pStyle w:val="PargrafodaLista"/>
        <w:jc w:val="both"/>
        <w:rPr>
          <w:rFonts w:ascii="Century Gothic" w:hAnsi="Century Gothic"/>
        </w:rPr>
      </w:pPr>
    </w:p>
    <w:p w14:paraId="2D117B31"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Inclusão dos débitos no Sistema da Dívida Ativa após o trânsito em julgado da decisão administrativa desfavorável ao interessado, o que será feito período por período. Assim, uma CDA - Certidão de Dívida Ativa poderá ser composta por inúmeros períodos de referência, que compõe o montante expresso na Notificação de Lançamento;</w:t>
      </w:r>
    </w:p>
    <w:p w14:paraId="12AFDD45" w14:textId="77777777" w:rsidR="003372A0" w:rsidRPr="00EF7812" w:rsidRDefault="003372A0" w:rsidP="003372A0">
      <w:pPr>
        <w:pStyle w:val="PargrafodaLista"/>
        <w:jc w:val="both"/>
        <w:rPr>
          <w:rFonts w:ascii="Century Gothic" w:hAnsi="Century Gothic"/>
        </w:rPr>
      </w:pPr>
    </w:p>
    <w:p w14:paraId="7FC86B11"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Acompanhamento no sistema da PGE, do trâmite de pagamento da dívida ativa;</w:t>
      </w:r>
    </w:p>
    <w:p w14:paraId="46C0648F" w14:textId="77777777" w:rsidR="003372A0" w:rsidRPr="00EF7812" w:rsidRDefault="003372A0" w:rsidP="003372A0">
      <w:pPr>
        <w:pStyle w:val="PargrafodaLista"/>
        <w:jc w:val="both"/>
        <w:rPr>
          <w:rFonts w:ascii="Century Gothic" w:hAnsi="Century Gothic"/>
        </w:rPr>
      </w:pPr>
    </w:p>
    <w:p w14:paraId="5DDEA5AD"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Após pagamento, acompanhamento do repasse da Secretaria da Fazenda ao Ministério Público;</w:t>
      </w:r>
    </w:p>
    <w:p w14:paraId="4186D4FC" w14:textId="77777777" w:rsidR="003372A0" w:rsidRPr="00EF7812" w:rsidRDefault="003372A0" w:rsidP="003372A0">
      <w:pPr>
        <w:pStyle w:val="PargrafodaLista"/>
        <w:jc w:val="both"/>
        <w:rPr>
          <w:rFonts w:ascii="Century Gothic" w:hAnsi="Century Gothic"/>
        </w:rPr>
      </w:pPr>
    </w:p>
    <w:p w14:paraId="6CA59A0A" w14:textId="77777777" w:rsidR="003372A0" w:rsidRPr="00EF7812" w:rsidRDefault="003372A0" w:rsidP="003372A0">
      <w:pPr>
        <w:pStyle w:val="PargrafodaLista"/>
        <w:numPr>
          <w:ilvl w:val="0"/>
          <w:numId w:val="10"/>
        </w:numPr>
        <w:jc w:val="both"/>
        <w:rPr>
          <w:rFonts w:ascii="Century Gothic" w:hAnsi="Century Gothic"/>
        </w:rPr>
      </w:pPr>
      <w:r w:rsidRPr="00EF7812">
        <w:rPr>
          <w:rFonts w:ascii="Century Gothic" w:hAnsi="Century Gothic"/>
        </w:rPr>
        <w:t>Registro da receita que foi inscrita em dívida ativa, através de NL quando a Secretaria da Fazenda realizar o repasse do valor pago pelo responsável da serventia.</w:t>
      </w:r>
    </w:p>
    <w:p w14:paraId="28137150" w14:textId="77777777" w:rsidR="003372A0" w:rsidRPr="00EF7812" w:rsidRDefault="003372A0" w:rsidP="003372A0">
      <w:pPr>
        <w:pStyle w:val="PargrafodaLista"/>
        <w:jc w:val="both"/>
        <w:rPr>
          <w:rFonts w:ascii="Century Gothic" w:hAnsi="Century Gothic"/>
        </w:rPr>
      </w:pPr>
    </w:p>
    <w:p w14:paraId="0CEED153" w14:textId="77777777" w:rsidR="003372A0" w:rsidRPr="00EF7812" w:rsidRDefault="003372A0" w:rsidP="003372A0">
      <w:pPr>
        <w:pStyle w:val="PargrafodaLista"/>
        <w:jc w:val="both"/>
        <w:rPr>
          <w:rFonts w:ascii="Century Gothic" w:hAnsi="Century Gothic"/>
        </w:rPr>
      </w:pPr>
    </w:p>
    <w:p w14:paraId="40E106AA" w14:textId="77777777" w:rsidR="003372A0" w:rsidRPr="00EF7812" w:rsidRDefault="003372A0" w:rsidP="003372A0">
      <w:pPr>
        <w:pStyle w:val="PargrafodaLista"/>
        <w:jc w:val="both"/>
        <w:rPr>
          <w:rFonts w:ascii="Century Gothic" w:hAnsi="Century Gothic"/>
        </w:rPr>
      </w:pPr>
      <w:r>
        <w:rPr>
          <w:rFonts w:ascii="Century Gothic" w:hAnsi="Century Gothic"/>
        </w:rPr>
        <w:t xml:space="preserve">Processos que ensejam </w:t>
      </w:r>
      <w:r w:rsidRPr="00EF7812">
        <w:rPr>
          <w:rFonts w:ascii="Century Gothic" w:hAnsi="Century Gothic"/>
        </w:rPr>
        <w:t>Multa Contratual</w:t>
      </w:r>
    </w:p>
    <w:p w14:paraId="13C9735D" w14:textId="77777777" w:rsidR="003372A0" w:rsidRPr="00EF7812" w:rsidRDefault="003372A0" w:rsidP="003372A0">
      <w:pPr>
        <w:pStyle w:val="PargrafodaLista"/>
        <w:jc w:val="both"/>
        <w:rPr>
          <w:rFonts w:ascii="Century Gothic" w:hAnsi="Century Gothic"/>
        </w:rPr>
      </w:pPr>
    </w:p>
    <w:p w14:paraId="325B74D4" w14:textId="77777777" w:rsidR="003372A0" w:rsidRPr="00EF7812" w:rsidRDefault="003372A0" w:rsidP="003372A0">
      <w:pPr>
        <w:pStyle w:val="PargrafodaLista"/>
        <w:jc w:val="both"/>
        <w:rPr>
          <w:rFonts w:ascii="Century Gothic" w:hAnsi="Century Gothic"/>
        </w:rPr>
      </w:pPr>
      <w:r w:rsidRPr="00EF7812">
        <w:rPr>
          <w:rFonts w:ascii="Century Gothic" w:hAnsi="Century Gothic"/>
        </w:rPr>
        <w:t>Quando as empresas contratadas não cumprem as cláusulas contratuais o Centro de Finanças e Contabilidade expede informação propondo aplicação de multa contratual encaminhando à Diretoria Geral para análise jurídica;</w:t>
      </w:r>
    </w:p>
    <w:p w14:paraId="799DABC6" w14:textId="77777777" w:rsidR="003372A0" w:rsidRPr="00EF7812" w:rsidRDefault="003372A0" w:rsidP="003372A0">
      <w:pPr>
        <w:pStyle w:val="PargrafodaLista"/>
        <w:jc w:val="both"/>
        <w:rPr>
          <w:rFonts w:ascii="Century Gothic" w:hAnsi="Century Gothic"/>
        </w:rPr>
      </w:pPr>
    </w:p>
    <w:p w14:paraId="30D3C510" w14:textId="77777777" w:rsidR="003372A0" w:rsidRPr="00EF7812" w:rsidRDefault="003372A0" w:rsidP="003372A0">
      <w:pPr>
        <w:pStyle w:val="PargrafodaLista"/>
        <w:jc w:val="both"/>
        <w:rPr>
          <w:rFonts w:ascii="Century Gothic" w:hAnsi="Century Gothic"/>
        </w:rPr>
      </w:pPr>
      <w:r w:rsidRPr="00EF7812">
        <w:rPr>
          <w:rFonts w:ascii="Century Gothic" w:hAnsi="Century Gothic"/>
        </w:rPr>
        <w:t>Após os trâmites de cobrança do contratado, o interessado entra no portal do Ministério Público e expede boleto para pagamento da referida multa;</w:t>
      </w:r>
    </w:p>
    <w:p w14:paraId="473BD3A6" w14:textId="77777777" w:rsidR="003372A0" w:rsidRPr="00EF7812" w:rsidRDefault="003372A0" w:rsidP="003372A0">
      <w:pPr>
        <w:pStyle w:val="PargrafodaLista"/>
        <w:jc w:val="both"/>
        <w:rPr>
          <w:rFonts w:ascii="Century Gothic" w:hAnsi="Century Gothic"/>
        </w:rPr>
      </w:pPr>
      <w:r w:rsidRPr="00EF7812">
        <w:rPr>
          <w:rFonts w:ascii="Century Gothic" w:hAnsi="Century Gothic"/>
        </w:rPr>
        <w:t xml:space="preserve">A Assessoria Técnica da Diretoria Geral, encaminha o processo para verificação se o valor cobrado foi recolhido, e a subárea de fundos especiais emite informação a respeito. </w:t>
      </w:r>
    </w:p>
    <w:p w14:paraId="5D33632A" w14:textId="77777777" w:rsidR="003372A0" w:rsidRPr="00EF7812" w:rsidRDefault="003372A0" w:rsidP="003372A0">
      <w:pPr>
        <w:pStyle w:val="PargrafodaLista"/>
        <w:jc w:val="both"/>
        <w:rPr>
          <w:rFonts w:ascii="Century Gothic" w:hAnsi="Century Gothic"/>
        </w:rPr>
      </w:pPr>
    </w:p>
    <w:p w14:paraId="177036A0" w14:textId="77777777" w:rsidR="003372A0" w:rsidRPr="00EF7812" w:rsidRDefault="003372A0" w:rsidP="003372A0">
      <w:pPr>
        <w:pStyle w:val="PargrafodaLista"/>
        <w:jc w:val="both"/>
        <w:rPr>
          <w:rFonts w:ascii="Century Gothic" w:hAnsi="Century Gothic"/>
        </w:rPr>
      </w:pPr>
    </w:p>
    <w:p w14:paraId="46EC4EF9" w14:textId="77777777" w:rsidR="003372A0" w:rsidRPr="00EF7812" w:rsidRDefault="003372A0" w:rsidP="003372A0">
      <w:pPr>
        <w:pStyle w:val="PargrafodaLista"/>
        <w:jc w:val="both"/>
        <w:rPr>
          <w:rFonts w:ascii="Century Gothic" w:hAnsi="Century Gothic"/>
        </w:rPr>
      </w:pPr>
      <w:r>
        <w:rPr>
          <w:rFonts w:ascii="Century Gothic" w:hAnsi="Century Gothic"/>
        </w:rPr>
        <w:t xml:space="preserve">Processos de Devolução </w:t>
      </w:r>
      <w:r w:rsidRPr="00EF7812">
        <w:rPr>
          <w:rFonts w:ascii="Century Gothic" w:hAnsi="Century Gothic"/>
        </w:rPr>
        <w:t>de valores “Serviço MP”</w:t>
      </w:r>
    </w:p>
    <w:p w14:paraId="729E7ECB" w14:textId="77777777" w:rsidR="003372A0" w:rsidRPr="00EF7812" w:rsidRDefault="003372A0" w:rsidP="003372A0">
      <w:pPr>
        <w:pStyle w:val="PargrafodaLista"/>
        <w:ind w:left="1080"/>
        <w:jc w:val="both"/>
        <w:rPr>
          <w:rFonts w:ascii="Century Gothic" w:hAnsi="Century Gothic"/>
        </w:rPr>
      </w:pPr>
    </w:p>
    <w:p w14:paraId="457337DE" w14:textId="77777777" w:rsidR="003372A0" w:rsidRPr="00EF7812" w:rsidRDefault="003372A0" w:rsidP="003372A0">
      <w:pPr>
        <w:pStyle w:val="PargrafodaLista"/>
        <w:numPr>
          <w:ilvl w:val="0"/>
          <w:numId w:val="25"/>
        </w:numPr>
        <w:jc w:val="both"/>
        <w:rPr>
          <w:rFonts w:ascii="Century Gothic" w:hAnsi="Century Gothic"/>
        </w:rPr>
      </w:pPr>
      <w:r w:rsidRPr="00EF7812">
        <w:rPr>
          <w:rFonts w:ascii="Century Gothic" w:hAnsi="Century Gothic"/>
        </w:rPr>
        <w:t>Instauração de processo de devolução de:</w:t>
      </w:r>
    </w:p>
    <w:p w14:paraId="70331EE1" w14:textId="77777777" w:rsidR="003372A0" w:rsidRPr="00EF7812" w:rsidRDefault="003372A0" w:rsidP="003372A0">
      <w:pPr>
        <w:pStyle w:val="PargrafodaLista"/>
        <w:ind w:left="1080"/>
        <w:jc w:val="both"/>
        <w:rPr>
          <w:rFonts w:ascii="Century Gothic" w:hAnsi="Century Gothic"/>
        </w:rPr>
      </w:pPr>
    </w:p>
    <w:p w14:paraId="743498C5" w14:textId="77777777" w:rsidR="003372A0" w:rsidRPr="00EF7812" w:rsidRDefault="003372A0" w:rsidP="003372A0">
      <w:pPr>
        <w:pStyle w:val="PargrafodaLista"/>
        <w:numPr>
          <w:ilvl w:val="0"/>
          <w:numId w:val="17"/>
        </w:numPr>
        <w:tabs>
          <w:tab w:val="left" w:pos="1560"/>
        </w:tabs>
        <w:ind w:firstLine="196"/>
        <w:jc w:val="both"/>
        <w:rPr>
          <w:rFonts w:ascii="Century Gothic" w:hAnsi="Century Gothic"/>
        </w:rPr>
      </w:pPr>
      <w:r>
        <w:rPr>
          <w:rFonts w:ascii="Century Gothic" w:hAnsi="Century Gothic"/>
        </w:rPr>
        <w:t>T</w:t>
      </w:r>
      <w:r w:rsidRPr="00EF7812">
        <w:rPr>
          <w:rFonts w:ascii="Century Gothic" w:hAnsi="Century Gothic"/>
        </w:rPr>
        <w:t>axas de inscrição em concurso público  seja de estagiário, servidor ou membro, quando há duplicidade de pagamento,</w:t>
      </w:r>
    </w:p>
    <w:p w14:paraId="20D5A14C" w14:textId="77777777" w:rsidR="003372A0" w:rsidRPr="00EF7812" w:rsidRDefault="003372A0" w:rsidP="003372A0">
      <w:pPr>
        <w:pStyle w:val="PargrafodaLista"/>
        <w:numPr>
          <w:ilvl w:val="0"/>
          <w:numId w:val="17"/>
        </w:numPr>
        <w:tabs>
          <w:tab w:val="left" w:pos="1560"/>
        </w:tabs>
        <w:ind w:firstLine="196"/>
        <w:jc w:val="both"/>
        <w:rPr>
          <w:rFonts w:ascii="Century Gothic" w:hAnsi="Century Gothic"/>
        </w:rPr>
      </w:pPr>
      <w:r w:rsidRPr="00EF7812">
        <w:rPr>
          <w:rFonts w:ascii="Century Gothic" w:hAnsi="Century Gothic"/>
        </w:rPr>
        <w:t>valor de matrícula em curso promovido pela ESMP, com base em documento que comprove a não execução dos serviços;</w:t>
      </w:r>
    </w:p>
    <w:p w14:paraId="3E99B175" w14:textId="77777777" w:rsidR="003372A0" w:rsidRPr="00EF7812" w:rsidRDefault="003372A0" w:rsidP="003372A0">
      <w:pPr>
        <w:pStyle w:val="PargrafodaLista"/>
        <w:ind w:left="1080"/>
        <w:jc w:val="both"/>
        <w:rPr>
          <w:rFonts w:ascii="Century Gothic" w:hAnsi="Century Gothic"/>
        </w:rPr>
      </w:pPr>
    </w:p>
    <w:p w14:paraId="2939AEF8" w14:textId="77777777" w:rsidR="003372A0" w:rsidRPr="00EF7812" w:rsidRDefault="003372A0" w:rsidP="003372A0">
      <w:pPr>
        <w:pStyle w:val="PargrafodaLista"/>
        <w:numPr>
          <w:ilvl w:val="0"/>
          <w:numId w:val="25"/>
        </w:numPr>
        <w:jc w:val="both"/>
        <w:rPr>
          <w:rFonts w:ascii="Century Gothic" w:hAnsi="Century Gothic"/>
        </w:rPr>
      </w:pPr>
      <w:r w:rsidRPr="00EF7812">
        <w:rPr>
          <w:rFonts w:ascii="Century Gothic" w:hAnsi="Century Gothic"/>
        </w:rPr>
        <w:t>Emissão de relatório com a descrição dos fatos e proposta de devolução,</w:t>
      </w:r>
    </w:p>
    <w:p w14:paraId="24FA354A" w14:textId="77777777" w:rsidR="003372A0" w:rsidRPr="00EF7812" w:rsidRDefault="003372A0" w:rsidP="003372A0">
      <w:pPr>
        <w:pStyle w:val="PargrafodaLista"/>
        <w:ind w:left="1440"/>
        <w:jc w:val="both"/>
        <w:rPr>
          <w:rFonts w:ascii="Century Gothic" w:hAnsi="Century Gothic"/>
        </w:rPr>
      </w:pPr>
    </w:p>
    <w:p w14:paraId="2DDB1F84" w14:textId="77777777" w:rsidR="003372A0" w:rsidRPr="00EF7812" w:rsidRDefault="003372A0" w:rsidP="003372A0">
      <w:pPr>
        <w:pStyle w:val="PargrafodaLista"/>
        <w:numPr>
          <w:ilvl w:val="0"/>
          <w:numId w:val="25"/>
        </w:numPr>
        <w:jc w:val="both"/>
        <w:rPr>
          <w:rFonts w:ascii="Century Gothic" w:hAnsi="Century Gothic"/>
        </w:rPr>
      </w:pPr>
      <w:r w:rsidRPr="00EF7812">
        <w:rPr>
          <w:rFonts w:ascii="Century Gothic" w:hAnsi="Century Gothic"/>
        </w:rPr>
        <w:t>Após ser a restituição autorizada pelo ordenador de despesas (Diretor-Geral), é realizado o cadastro do credor no ContabilizaSP,</w:t>
      </w:r>
    </w:p>
    <w:p w14:paraId="4A54D74E" w14:textId="77777777" w:rsidR="003372A0" w:rsidRPr="00EF7812" w:rsidRDefault="003372A0" w:rsidP="003372A0">
      <w:pPr>
        <w:pStyle w:val="PargrafodaLista"/>
        <w:rPr>
          <w:rFonts w:ascii="Century Gothic" w:hAnsi="Century Gothic"/>
        </w:rPr>
      </w:pPr>
    </w:p>
    <w:p w14:paraId="33D4A8B3" w14:textId="77777777" w:rsidR="003372A0" w:rsidRPr="00EF7812" w:rsidRDefault="003372A0" w:rsidP="003372A0">
      <w:pPr>
        <w:pStyle w:val="PargrafodaLista"/>
        <w:ind w:left="1440"/>
        <w:jc w:val="both"/>
        <w:rPr>
          <w:rFonts w:ascii="Century Gothic" w:hAnsi="Century Gothic"/>
        </w:rPr>
      </w:pPr>
    </w:p>
    <w:p w14:paraId="00589AF2" w14:textId="77777777" w:rsidR="003372A0" w:rsidRPr="00EF7812" w:rsidRDefault="003372A0" w:rsidP="003372A0">
      <w:pPr>
        <w:pStyle w:val="PargrafodaLista"/>
        <w:numPr>
          <w:ilvl w:val="0"/>
          <w:numId w:val="25"/>
        </w:numPr>
        <w:jc w:val="both"/>
        <w:rPr>
          <w:rFonts w:ascii="Century Gothic" w:hAnsi="Century Gothic"/>
        </w:rPr>
      </w:pPr>
      <w:r w:rsidRPr="00EF7812">
        <w:rPr>
          <w:rFonts w:ascii="Century Gothic" w:hAnsi="Century Gothic"/>
        </w:rPr>
        <w:t xml:space="preserve">Emissão de NL (Nota de Lançamento) de estorno da receita no SIAFEM, com o devido desconto da tarifa bancária, conforme Comunicado nº 047/2016 – DG/MP e, </w:t>
      </w:r>
    </w:p>
    <w:p w14:paraId="623CE711" w14:textId="77777777" w:rsidR="003372A0" w:rsidRPr="00EF7812" w:rsidRDefault="003372A0" w:rsidP="003372A0">
      <w:pPr>
        <w:pStyle w:val="PargrafodaLista"/>
        <w:ind w:left="1440"/>
        <w:jc w:val="both"/>
        <w:rPr>
          <w:rFonts w:ascii="Century Gothic" w:hAnsi="Century Gothic"/>
        </w:rPr>
      </w:pPr>
    </w:p>
    <w:p w14:paraId="55795702" w14:textId="77777777" w:rsidR="003372A0" w:rsidRPr="00EF7812" w:rsidRDefault="003372A0" w:rsidP="003372A0">
      <w:pPr>
        <w:pStyle w:val="PargrafodaLista"/>
        <w:numPr>
          <w:ilvl w:val="0"/>
          <w:numId w:val="25"/>
        </w:numPr>
        <w:jc w:val="both"/>
        <w:rPr>
          <w:rFonts w:ascii="Century Gothic" w:hAnsi="Century Gothic"/>
        </w:rPr>
      </w:pPr>
      <w:r w:rsidRPr="00EF7812">
        <w:rPr>
          <w:rFonts w:ascii="Century Gothic" w:hAnsi="Century Gothic"/>
        </w:rPr>
        <w:t>posteriormente, emissão da PD (Programação de Desembolso) e a OB (Ordem Bancária);</w:t>
      </w:r>
    </w:p>
    <w:p w14:paraId="2B0BDC2B" w14:textId="77777777" w:rsidR="003372A0" w:rsidRPr="00EF7812" w:rsidRDefault="003372A0" w:rsidP="003372A0">
      <w:pPr>
        <w:pStyle w:val="PargrafodaLista"/>
        <w:ind w:left="1080"/>
        <w:jc w:val="both"/>
        <w:rPr>
          <w:rFonts w:ascii="Century Gothic" w:hAnsi="Century Gothic"/>
        </w:rPr>
      </w:pPr>
    </w:p>
    <w:p w14:paraId="010A1B71" w14:textId="77777777" w:rsidR="003372A0" w:rsidRDefault="003372A0" w:rsidP="003372A0">
      <w:pPr>
        <w:spacing w:line="360" w:lineRule="auto"/>
        <w:ind w:firstLine="1134"/>
        <w:jc w:val="both"/>
        <w:rPr>
          <w:rFonts w:ascii="Century Gothic" w:hAnsi="Century Gothic"/>
        </w:rPr>
      </w:pPr>
      <w:r w:rsidRPr="00EF7812">
        <w:rPr>
          <w:rFonts w:ascii="Century Gothic" w:hAnsi="Century Gothic"/>
        </w:rPr>
        <w:t>O produto das atividades</w:t>
      </w:r>
      <w:r>
        <w:rPr>
          <w:rFonts w:ascii="Century Gothic" w:hAnsi="Century Gothic"/>
        </w:rPr>
        <w:t xml:space="preserve">, </w:t>
      </w:r>
      <w:r w:rsidRPr="00EF7812">
        <w:rPr>
          <w:rFonts w:ascii="Century Gothic" w:hAnsi="Century Gothic"/>
        </w:rPr>
        <w:t>acima elencadas</w:t>
      </w:r>
      <w:r>
        <w:rPr>
          <w:rFonts w:ascii="Century Gothic" w:hAnsi="Century Gothic"/>
        </w:rPr>
        <w:t>,</w:t>
      </w:r>
      <w:r w:rsidRPr="00EF7812">
        <w:rPr>
          <w:rFonts w:ascii="Century Gothic" w:hAnsi="Century Gothic"/>
        </w:rPr>
        <w:t xml:space="preserve"> </w:t>
      </w:r>
      <w:r>
        <w:rPr>
          <w:rFonts w:ascii="Century Gothic" w:hAnsi="Century Gothic"/>
        </w:rPr>
        <w:t>realizadas no ano de 2018</w:t>
      </w:r>
      <w:r w:rsidRPr="00EF7812">
        <w:rPr>
          <w:rFonts w:ascii="Century Gothic" w:hAnsi="Century Gothic"/>
        </w:rPr>
        <w:t xml:space="preserve"> em termos de valores recebidos que foram registrados e contabilizados no SIAFEM, no montante de R$ 170.620.337,36 conforme</w:t>
      </w:r>
      <w:r>
        <w:rPr>
          <w:rFonts w:ascii="Century Gothic" w:hAnsi="Century Gothic"/>
        </w:rPr>
        <w:t xml:space="preserve"> demonstra o</w:t>
      </w:r>
      <w:r w:rsidRPr="00EF7812">
        <w:rPr>
          <w:rFonts w:ascii="Century Gothic" w:hAnsi="Century Gothic"/>
        </w:rPr>
        <w:t xml:space="preserve"> </w:t>
      </w:r>
      <w:r>
        <w:rPr>
          <w:rFonts w:ascii="Century Gothic" w:hAnsi="Century Gothic"/>
        </w:rPr>
        <w:t xml:space="preserve">gráfico e </w:t>
      </w:r>
      <w:r w:rsidRPr="00EF7812">
        <w:rPr>
          <w:rFonts w:ascii="Century Gothic" w:hAnsi="Century Gothic"/>
        </w:rPr>
        <w:t xml:space="preserve">tabela </w:t>
      </w:r>
      <w:r>
        <w:rPr>
          <w:rFonts w:ascii="Century Gothic" w:hAnsi="Century Gothic"/>
        </w:rPr>
        <w:t>contendo informações detalhada por receita</w:t>
      </w:r>
      <w:r w:rsidRPr="00EF7812">
        <w:rPr>
          <w:rFonts w:ascii="Century Gothic" w:hAnsi="Century Gothic"/>
        </w:rPr>
        <w:t>:</w:t>
      </w:r>
    </w:p>
    <w:p w14:paraId="7BCB6BE7" w14:textId="77777777" w:rsidR="003372A0" w:rsidRPr="00EF7812" w:rsidRDefault="003372A0" w:rsidP="003372A0">
      <w:pPr>
        <w:spacing w:line="360" w:lineRule="auto"/>
        <w:ind w:firstLine="284"/>
        <w:jc w:val="center"/>
        <w:rPr>
          <w:rFonts w:ascii="Century Gothic" w:hAnsi="Century Gothic"/>
        </w:rPr>
      </w:pPr>
      <w:r>
        <w:rPr>
          <w:noProof/>
        </w:rPr>
        <w:drawing>
          <wp:inline distT="0" distB="0" distL="0" distR="0" wp14:anchorId="361438C8" wp14:editId="40D3324A">
            <wp:extent cx="4681834" cy="2705877"/>
            <wp:effectExtent l="0" t="0" r="508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2984" cy="2718101"/>
                    </a:xfrm>
                    <a:prstGeom prst="rect">
                      <a:avLst/>
                    </a:prstGeom>
                  </pic:spPr>
                </pic:pic>
              </a:graphicData>
            </a:graphic>
          </wp:inline>
        </w:drawing>
      </w:r>
      <w:r>
        <w:rPr>
          <w:noProof/>
        </w:rPr>
        <w:drawing>
          <wp:inline distT="0" distB="0" distL="0" distR="0" wp14:anchorId="013D0E5D" wp14:editId="1E5CB238">
            <wp:extent cx="5675850" cy="2993641"/>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3802" cy="2997835"/>
                    </a:xfrm>
                    <a:prstGeom prst="rect">
                      <a:avLst/>
                    </a:prstGeom>
                  </pic:spPr>
                </pic:pic>
              </a:graphicData>
            </a:graphic>
          </wp:inline>
        </w:drawing>
      </w:r>
    </w:p>
    <w:p w14:paraId="45F7836A" w14:textId="77777777" w:rsidR="003372A0" w:rsidRPr="00EF7812" w:rsidRDefault="003372A0" w:rsidP="003372A0">
      <w:pPr>
        <w:spacing w:line="360" w:lineRule="auto"/>
        <w:ind w:firstLine="1418"/>
        <w:jc w:val="both"/>
        <w:rPr>
          <w:rFonts w:ascii="Century Gothic" w:hAnsi="Century Gothic"/>
        </w:rPr>
      </w:pPr>
      <w:r w:rsidRPr="00EF7812">
        <w:rPr>
          <w:rFonts w:ascii="Century Gothic" w:hAnsi="Century Gothic"/>
        </w:rPr>
        <w:t xml:space="preserve">Nota-se que a fonte de recurso principal é o percentual de emolumentos repassados pelas serventias ao Ministério Público totalizando no ano de 2018 o montante de R$ 159.047.086,51 (valor principal e acréscimos legais). </w:t>
      </w:r>
    </w:p>
    <w:p w14:paraId="437960AF" w14:textId="77777777" w:rsidR="003372A0" w:rsidRPr="00EF7812" w:rsidRDefault="003372A0" w:rsidP="003372A0">
      <w:pPr>
        <w:spacing w:line="360" w:lineRule="auto"/>
        <w:ind w:firstLine="1418"/>
        <w:jc w:val="both"/>
        <w:rPr>
          <w:rFonts w:ascii="Century Gothic" w:hAnsi="Century Gothic"/>
        </w:rPr>
      </w:pPr>
      <w:r w:rsidRPr="00EF7812">
        <w:rPr>
          <w:rFonts w:ascii="Century Gothic" w:hAnsi="Century Gothic"/>
        </w:rPr>
        <w:t>Abaixo detalharemos os dados por tipo de receita:</w:t>
      </w:r>
    </w:p>
    <w:p w14:paraId="227EF7FC" w14:textId="77777777" w:rsidR="003372A0" w:rsidRDefault="003372A0" w:rsidP="003372A0">
      <w:pPr>
        <w:spacing w:line="360" w:lineRule="auto"/>
        <w:ind w:firstLine="1418"/>
        <w:jc w:val="both"/>
        <w:rPr>
          <w:rFonts w:ascii="Century Gothic" w:hAnsi="Century Gothic"/>
        </w:rPr>
      </w:pPr>
      <w:r w:rsidRPr="00EF7812">
        <w:rPr>
          <w:rFonts w:ascii="Century Gothic" w:hAnsi="Century Gothic"/>
        </w:rPr>
        <w:t>Quantidade de serventias conciliadas referente aos valores de repasse de emolumentos</w:t>
      </w:r>
      <w:r>
        <w:rPr>
          <w:rFonts w:ascii="Century Gothic" w:hAnsi="Century Gothic"/>
        </w:rPr>
        <w:t>:</w:t>
      </w:r>
    </w:p>
    <w:tbl>
      <w:tblPr>
        <w:tblW w:w="10206" w:type="dxa"/>
        <w:tblCellMar>
          <w:left w:w="70" w:type="dxa"/>
          <w:right w:w="70" w:type="dxa"/>
        </w:tblCellMar>
        <w:tblLook w:val="04A0" w:firstRow="1" w:lastRow="0" w:firstColumn="1" w:lastColumn="0" w:noHBand="0" w:noVBand="1"/>
      </w:tblPr>
      <w:tblGrid>
        <w:gridCol w:w="667"/>
        <w:gridCol w:w="922"/>
        <w:gridCol w:w="1322"/>
        <w:gridCol w:w="1133"/>
        <w:gridCol w:w="1147"/>
        <w:gridCol w:w="1322"/>
        <w:gridCol w:w="1133"/>
        <w:gridCol w:w="817"/>
        <w:gridCol w:w="1743"/>
      </w:tblGrid>
      <w:tr w:rsidR="003372A0" w:rsidRPr="00EF7812" w14:paraId="009BEB37" w14:textId="77777777" w:rsidTr="00966CB0">
        <w:trPr>
          <w:trHeight w:val="236"/>
        </w:trPr>
        <w:tc>
          <w:tcPr>
            <w:tcW w:w="667" w:type="dxa"/>
            <w:tcBorders>
              <w:top w:val="nil"/>
              <w:left w:val="nil"/>
              <w:bottom w:val="nil"/>
              <w:right w:val="nil"/>
            </w:tcBorders>
            <w:shd w:val="clear" w:color="000000" w:fill="FFFFFF"/>
            <w:noWrap/>
            <w:vAlign w:val="bottom"/>
            <w:hideMark/>
          </w:tcPr>
          <w:p w14:paraId="7BFC534A" w14:textId="77777777" w:rsidR="003372A0" w:rsidRPr="00EF7812" w:rsidRDefault="003372A0" w:rsidP="00966CB0">
            <w:pPr>
              <w:spacing w:after="0" w:line="240" w:lineRule="auto"/>
              <w:rPr>
                <w:rFonts w:ascii="Century Gothic" w:hAnsi="Century Gothic"/>
                <w:sz w:val="16"/>
                <w:szCs w:val="16"/>
              </w:rPr>
            </w:pPr>
          </w:p>
        </w:tc>
        <w:tc>
          <w:tcPr>
            <w:tcW w:w="3377" w:type="dxa"/>
            <w:gridSpan w:val="3"/>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1A14286F"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Conciliações Emolumentos</w:t>
            </w:r>
          </w:p>
        </w:tc>
        <w:tc>
          <w:tcPr>
            <w:tcW w:w="3602" w:type="dxa"/>
            <w:gridSpan w:val="3"/>
            <w:tcBorders>
              <w:top w:val="single" w:sz="8" w:space="0" w:color="auto"/>
              <w:left w:val="nil"/>
              <w:bottom w:val="single" w:sz="8" w:space="0" w:color="auto"/>
              <w:right w:val="single" w:sz="8" w:space="0" w:color="000000"/>
            </w:tcBorders>
            <w:shd w:val="clear" w:color="000000" w:fill="FFFFFF"/>
            <w:noWrap/>
            <w:vAlign w:val="bottom"/>
            <w:hideMark/>
          </w:tcPr>
          <w:p w14:paraId="125FE931"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Devoluções Emolumentos</w:t>
            </w:r>
          </w:p>
        </w:tc>
        <w:tc>
          <w:tcPr>
            <w:tcW w:w="2560" w:type="dxa"/>
            <w:gridSpan w:val="2"/>
            <w:tcBorders>
              <w:top w:val="single" w:sz="8" w:space="0" w:color="auto"/>
              <w:left w:val="nil"/>
              <w:bottom w:val="single" w:sz="8" w:space="0" w:color="auto"/>
              <w:right w:val="single" w:sz="8" w:space="0" w:color="000000"/>
            </w:tcBorders>
            <w:shd w:val="clear" w:color="000000" w:fill="FFFFFF"/>
            <w:noWrap/>
            <w:vAlign w:val="bottom"/>
            <w:hideMark/>
          </w:tcPr>
          <w:p w14:paraId="0481BF7E"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Dívida Ativa Emolumentos</w:t>
            </w:r>
          </w:p>
        </w:tc>
      </w:tr>
      <w:tr w:rsidR="003372A0" w:rsidRPr="00EF7812" w14:paraId="565DCDB0" w14:textId="77777777" w:rsidTr="00966CB0">
        <w:trPr>
          <w:trHeight w:val="236"/>
        </w:trPr>
        <w:tc>
          <w:tcPr>
            <w:tcW w:w="667" w:type="dxa"/>
            <w:tcBorders>
              <w:top w:val="single" w:sz="8" w:space="0" w:color="auto"/>
              <w:left w:val="single" w:sz="8" w:space="0" w:color="auto"/>
              <w:bottom w:val="single" w:sz="8" w:space="0" w:color="auto"/>
              <w:right w:val="single" w:sz="8" w:space="0" w:color="auto"/>
            </w:tcBorders>
            <w:shd w:val="clear" w:color="000000" w:fill="D6E3BC"/>
            <w:vAlign w:val="center"/>
            <w:hideMark/>
          </w:tcPr>
          <w:p w14:paraId="789B576C"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Ano</w:t>
            </w:r>
          </w:p>
        </w:tc>
        <w:tc>
          <w:tcPr>
            <w:tcW w:w="922" w:type="dxa"/>
            <w:tcBorders>
              <w:top w:val="nil"/>
              <w:left w:val="nil"/>
              <w:bottom w:val="single" w:sz="8" w:space="0" w:color="auto"/>
              <w:right w:val="single" w:sz="8" w:space="0" w:color="auto"/>
            </w:tcBorders>
            <w:shd w:val="clear" w:color="000000" w:fill="D6E3BC"/>
            <w:vAlign w:val="center"/>
            <w:hideMark/>
          </w:tcPr>
          <w:p w14:paraId="7A75BE25"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Não iniciada</w:t>
            </w:r>
          </w:p>
        </w:tc>
        <w:tc>
          <w:tcPr>
            <w:tcW w:w="1322" w:type="dxa"/>
            <w:tcBorders>
              <w:top w:val="nil"/>
              <w:left w:val="nil"/>
              <w:bottom w:val="single" w:sz="8" w:space="0" w:color="auto"/>
              <w:right w:val="single" w:sz="8" w:space="0" w:color="auto"/>
            </w:tcBorders>
            <w:shd w:val="clear" w:color="000000" w:fill="D6E3BC"/>
            <w:vAlign w:val="center"/>
            <w:hideMark/>
          </w:tcPr>
          <w:p w14:paraId="120C9D30"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Andamento</w:t>
            </w:r>
          </w:p>
        </w:tc>
        <w:tc>
          <w:tcPr>
            <w:tcW w:w="1133" w:type="dxa"/>
            <w:tcBorders>
              <w:top w:val="nil"/>
              <w:left w:val="nil"/>
              <w:bottom w:val="single" w:sz="8" w:space="0" w:color="auto"/>
              <w:right w:val="single" w:sz="8" w:space="0" w:color="auto"/>
            </w:tcBorders>
            <w:shd w:val="clear" w:color="000000" w:fill="D6E3BC"/>
            <w:vAlign w:val="center"/>
            <w:hideMark/>
          </w:tcPr>
          <w:p w14:paraId="08F6E4C7"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concluída</w:t>
            </w:r>
          </w:p>
        </w:tc>
        <w:tc>
          <w:tcPr>
            <w:tcW w:w="1147" w:type="dxa"/>
            <w:tcBorders>
              <w:top w:val="nil"/>
              <w:left w:val="nil"/>
              <w:bottom w:val="single" w:sz="8" w:space="0" w:color="auto"/>
              <w:right w:val="single" w:sz="8" w:space="0" w:color="auto"/>
            </w:tcBorders>
            <w:shd w:val="clear" w:color="000000" w:fill="D6E3BC"/>
            <w:vAlign w:val="center"/>
            <w:hideMark/>
          </w:tcPr>
          <w:p w14:paraId="02B34B76"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Não iniciada</w:t>
            </w:r>
          </w:p>
        </w:tc>
        <w:tc>
          <w:tcPr>
            <w:tcW w:w="1322" w:type="dxa"/>
            <w:tcBorders>
              <w:top w:val="nil"/>
              <w:left w:val="nil"/>
              <w:bottom w:val="single" w:sz="8" w:space="0" w:color="auto"/>
              <w:right w:val="single" w:sz="8" w:space="0" w:color="auto"/>
            </w:tcBorders>
            <w:shd w:val="clear" w:color="000000" w:fill="D6E3BC"/>
            <w:vAlign w:val="center"/>
            <w:hideMark/>
          </w:tcPr>
          <w:p w14:paraId="3362A4F1"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Andamento</w:t>
            </w:r>
          </w:p>
        </w:tc>
        <w:tc>
          <w:tcPr>
            <w:tcW w:w="1133" w:type="dxa"/>
            <w:tcBorders>
              <w:top w:val="nil"/>
              <w:left w:val="nil"/>
              <w:bottom w:val="single" w:sz="8" w:space="0" w:color="auto"/>
              <w:right w:val="single" w:sz="8" w:space="0" w:color="auto"/>
            </w:tcBorders>
            <w:shd w:val="clear" w:color="000000" w:fill="D6E3BC"/>
            <w:vAlign w:val="center"/>
            <w:hideMark/>
          </w:tcPr>
          <w:p w14:paraId="6A5E786F"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concluída</w:t>
            </w:r>
          </w:p>
        </w:tc>
        <w:tc>
          <w:tcPr>
            <w:tcW w:w="817" w:type="dxa"/>
            <w:tcBorders>
              <w:top w:val="nil"/>
              <w:left w:val="nil"/>
              <w:bottom w:val="single" w:sz="8" w:space="0" w:color="auto"/>
              <w:right w:val="single" w:sz="8" w:space="0" w:color="auto"/>
            </w:tcBorders>
            <w:shd w:val="clear" w:color="000000" w:fill="D6E3BC"/>
            <w:vAlign w:val="center"/>
            <w:hideMark/>
          </w:tcPr>
          <w:p w14:paraId="453F24B9"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 xml:space="preserve">Inscrito </w:t>
            </w:r>
          </w:p>
        </w:tc>
        <w:tc>
          <w:tcPr>
            <w:tcW w:w="1743" w:type="dxa"/>
            <w:tcBorders>
              <w:top w:val="nil"/>
              <w:left w:val="nil"/>
              <w:bottom w:val="single" w:sz="8" w:space="0" w:color="auto"/>
              <w:right w:val="single" w:sz="8" w:space="0" w:color="auto"/>
            </w:tcBorders>
            <w:shd w:val="clear" w:color="000000" w:fill="D6E3BC"/>
            <w:vAlign w:val="center"/>
            <w:hideMark/>
          </w:tcPr>
          <w:p w14:paraId="2270A45A"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 xml:space="preserve">À Inscrever </w:t>
            </w:r>
          </w:p>
        </w:tc>
      </w:tr>
      <w:tr w:rsidR="003372A0" w:rsidRPr="00EF7812" w14:paraId="2AE7ACBD" w14:textId="77777777" w:rsidTr="00966CB0">
        <w:trPr>
          <w:trHeight w:val="236"/>
        </w:trPr>
        <w:tc>
          <w:tcPr>
            <w:tcW w:w="667" w:type="dxa"/>
            <w:tcBorders>
              <w:top w:val="nil"/>
              <w:left w:val="single" w:sz="8" w:space="0" w:color="auto"/>
              <w:bottom w:val="single" w:sz="8" w:space="0" w:color="auto"/>
              <w:right w:val="single" w:sz="8" w:space="0" w:color="auto"/>
            </w:tcBorders>
            <w:shd w:val="clear" w:color="auto" w:fill="auto"/>
            <w:vAlign w:val="center"/>
            <w:hideMark/>
          </w:tcPr>
          <w:p w14:paraId="67A8AD3B"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2015</w:t>
            </w:r>
          </w:p>
        </w:tc>
        <w:tc>
          <w:tcPr>
            <w:tcW w:w="922" w:type="dxa"/>
            <w:tcBorders>
              <w:top w:val="nil"/>
              <w:left w:val="nil"/>
              <w:bottom w:val="single" w:sz="8" w:space="0" w:color="auto"/>
              <w:right w:val="single" w:sz="8" w:space="0" w:color="auto"/>
            </w:tcBorders>
            <w:shd w:val="clear" w:color="auto" w:fill="auto"/>
            <w:vAlign w:val="center"/>
            <w:hideMark/>
          </w:tcPr>
          <w:p w14:paraId="4D0A9789"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322" w:type="dxa"/>
            <w:tcBorders>
              <w:top w:val="nil"/>
              <w:left w:val="nil"/>
              <w:bottom w:val="single" w:sz="8" w:space="0" w:color="auto"/>
              <w:right w:val="single" w:sz="8" w:space="0" w:color="auto"/>
            </w:tcBorders>
            <w:shd w:val="clear" w:color="auto" w:fill="auto"/>
            <w:vAlign w:val="center"/>
            <w:hideMark/>
          </w:tcPr>
          <w:p w14:paraId="2A643A36"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133" w:type="dxa"/>
            <w:tcBorders>
              <w:top w:val="nil"/>
              <w:left w:val="nil"/>
              <w:bottom w:val="single" w:sz="8" w:space="0" w:color="auto"/>
              <w:right w:val="single" w:sz="8" w:space="0" w:color="auto"/>
            </w:tcBorders>
            <w:shd w:val="clear" w:color="auto" w:fill="auto"/>
            <w:vAlign w:val="center"/>
            <w:hideMark/>
          </w:tcPr>
          <w:p w14:paraId="621A027B"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147" w:type="dxa"/>
            <w:tcBorders>
              <w:top w:val="nil"/>
              <w:left w:val="nil"/>
              <w:bottom w:val="single" w:sz="8" w:space="0" w:color="auto"/>
              <w:right w:val="single" w:sz="8" w:space="0" w:color="auto"/>
            </w:tcBorders>
            <w:shd w:val="clear" w:color="auto" w:fill="auto"/>
            <w:vAlign w:val="center"/>
            <w:hideMark/>
          </w:tcPr>
          <w:p w14:paraId="1ADE12DC"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322" w:type="dxa"/>
            <w:tcBorders>
              <w:top w:val="nil"/>
              <w:left w:val="nil"/>
              <w:bottom w:val="single" w:sz="8" w:space="0" w:color="auto"/>
              <w:right w:val="single" w:sz="8" w:space="0" w:color="auto"/>
            </w:tcBorders>
            <w:shd w:val="clear" w:color="auto" w:fill="auto"/>
            <w:vAlign w:val="center"/>
            <w:hideMark/>
          </w:tcPr>
          <w:p w14:paraId="54864428"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133" w:type="dxa"/>
            <w:tcBorders>
              <w:top w:val="nil"/>
              <w:left w:val="nil"/>
              <w:bottom w:val="single" w:sz="8" w:space="0" w:color="auto"/>
              <w:right w:val="single" w:sz="8" w:space="0" w:color="auto"/>
            </w:tcBorders>
            <w:shd w:val="clear" w:color="auto" w:fill="auto"/>
            <w:vAlign w:val="center"/>
            <w:hideMark/>
          </w:tcPr>
          <w:p w14:paraId="3DF1A240"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w:t>
            </w:r>
          </w:p>
        </w:tc>
        <w:tc>
          <w:tcPr>
            <w:tcW w:w="817" w:type="dxa"/>
            <w:tcBorders>
              <w:top w:val="nil"/>
              <w:left w:val="nil"/>
              <w:bottom w:val="single" w:sz="8" w:space="0" w:color="auto"/>
              <w:right w:val="single" w:sz="8" w:space="0" w:color="auto"/>
            </w:tcBorders>
            <w:shd w:val="clear" w:color="auto" w:fill="auto"/>
            <w:vAlign w:val="center"/>
            <w:hideMark/>
          </w:tcPr>
          <w:p w14:paraId="79EA446B"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14:paraId="2B4FAE8A"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r>
      <w:tr w:rsidR="003372A0" w:rsidRPr="00EF7812" w14:paraId="6432BEDF" w14:textId="77777777" w:rsidTr="00966CB0">
        <w:trPr>
          <w:trHeight w:val="236"/>
        </w:trPr>
        <w:tc>
          <w:tcPr>
            <w:tcW w:w="667" w:type="dxa"/>
            <w:tcBorders>
              <w:top w:val="nil"/>
              <w:left w:val="single" w:sz="8" w:space="0" w:color="auto"/>
              <w:bottom w:val="single" w:sz="8" w:space="0" w:color="auto"/>
              <w:right w:val="single" w:sz="8" w:space="0" w:color="auto"/>
            </w:tcBorders>
            <w:shd w:val="clear" w:color="auto" w:fill="auto"/>
            <w:vAlign w:val="center"/>
            <w:hideMark/>
          </w:tcPr>
          <w:p w14:paraId="14DAA8E0"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2016</w:t>
            </w:r>
          </w:p>
        </w:tc>
        <w:tc>
          <w:tcPr>
            <w:tcW w:w="922" w:type="dxa"/>
            <w:tcBorders>
              <w:top w:val="nil"/>
              <w:left w:val="nil"/>
              <w:bottom w:val="single" w:sz="8" w:space="0" w:color="auto"/>
              <w:right w:val="single" w:sz="8" w:space="0" w:color="auto"/>
            </w:tcBorders>
            <w:shd w:val="clear" w:color="auto" w:fill="auto"/>
            <w:vAlign w:val="center"/>
            <w:hideMark/>
          </w:tcPr>
          <w:p w14:paraId="238D6787"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10</w:t>
            </w:r>
          </w:p>
        </w:tc>
        <w:tc>
          <w:tcPr>
            <w:tcW w:w="1322" w:type="dxa"/>
            <w:tcBorders>
              <w:top w:val="nil"/>
              <w:left w:val="nil"/>
              <w:bottom w:val="single" w:sz="8" w:space="0" w:color="auto"/>
              <w:right w:val="single" w:sz="8" w:space="0" w:color="auto"/>
            </w:tcBorders>
            <w:shd w:val="clear" w:color="auto" w:fill="auto"/>
            <w:vAlign w:val="center"/>
            <w:hideMark/>
          </w:tcPr>
          <w:p w14:paraId="02C96AD5"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6</w:t>
            </w:r>
          </w:p>
        </w:tc>
        <w:tc>
          <w:tcPr>
            <w:tcW w:w="1133" w:type="dxa"/>
            <w:tcBorders>
              <w:top w:val="nil"/>
              <w:left w:val="nil"/>
              <w:bottom w:val="single" w:sz="8" w:space="0" w:color="auto"/>
              <w:right w:val="single" w:sz="8" w:space="0" w:color="auto"/>
            </w:tcBorders>
            <w:shd w:val="clear" w:color="auto" w:fill="auto"/>
            <w:vAlign w:val="center"/>
            <w:hideMark/>
          </w:tcPr>
          <w:p w14:paraId="0414171E"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4</w:t>
            </w:r>
          </w:p>
        </w:tc>
        <w:tc>
          <w:tcPr>
            <w:tcW w:w="1147" w:type="dxa"/>
            <w:tcBorders>
              <w:top w:val="nil"/>
              <w:left w:val="nil"/>
              <w:bottom w:val="single" w:sz="8" w:space="0" w:color="auto"/>
              <w:right w:val="single" w:sz="8" w:space="0" w:color="auto"/>
            </w:tcBorders>
            <w:shd w:val="clear" w:color="auto" w:fill="auto"/>
            <w:vAlign w:val="center"/>
            <w:hideMark/>
          </w:tcPr>
          <w:p w14:paraId="11C7940C"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322" w:type="dxa"/>
            <w:tcBorders>
              <w:top w:val="nil"/>
              <w:left w:val="nil"/>
              <w:bottom w:val="single" w:sz="8" w:space="0" w:color="auto"/>
              <w:right w:val="single" w:sz="8" w:space="0" w:color="auto"/>
            </w:tcBorders>
            <w:shd w:val="clear" w:color="auto" w:fill="auto"/>
            <w:vAlign w:val="center"/>
            <w:hideMark/>
          </w:tcPr>
          <w:p w14:paraId="30875908"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133" w:type="dxa"/>
            <w:tcBorders>
              <w:top w:val="nil"/>
              <w:left w:val="nil"/>
              <w:bottom w:val="single" w:sz="8" w:space="0" w:color="auto"/>
              <w:right w:val="single" w:sz="8" w:space="0" w:color="auto"/>
            </w:tcBorders>
            <w:shd w:val="clear" w:color="auto" w:fill="auto"/>
            <w:vAlign w:val="center"/>
            <w:hideMark/>
          </w:tcPr>
          <w:p w14:paraId="536F59D7"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14</w:t>
            </w:r>
          </w:p>
        </w:tc>
        <w:tc>
          <w:tcPr>
            <w:tcW w:w="817" w:type="dxa"/>
            <w:tcBorders>
              <w:top w:val="nil"/>
              <w:left w:val="nil"/>
              <w:bottom w:val="single" w:sz="8" w:space="0" w:color="auto"/>
              <w:right w:val="single" w:sz="8" w:space="0" w:color="auto"/>
            </w:tcBorders>
            <w:shd w:val="clear" w:color="auto" w:fill="auto"/>
            <w:vAlign w:val="center"/>
            <w:hideMark/>
          </w:tcPr>
          <w:p w14:paraId="71D66BB3"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743" w:type="dxa"/>
            <w:tcBorders>
              <w:top w:val="nil"/>
              <w:left w:val="nil"/>
              <w:bottom w:val="single" w:sz="8" w:space="0" w:color="auto"/>
              <w:right w:val="single" w:sz="8" w:space="0" w:color="auto"/>
            </w:tcBorders>
            <w:shd w:val="clear" w:color="auto" w:fill="auto"/>
            <w:vAlign w:val="center"/>
            <w:hideMark/>
          </w:tcPr>
          <w:p w14:paraId="49EEAB69"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r>
      <w:tr w:rsidR="003372A0" w:rsidRPr="00EF7812" w14:paraId="51232186" w14:textId="77777777" w:rsidTr="00966CB0">
        <w:trPr>
          <w:trHeight w:val="236"/>
        </w:trPr>
        <w:tc>
          <w:tcPr>
            <w:tcW w:w="667" w:type="dxa"/>
            <w:tcBorders>
              <w:top w:val="nil"/>
              <w:left w:val="single" w:sz="8" w:space="0" w:color="auto"/>
              <w:bottom w:val="single" w:sz="4" w:space="0" w:color="auto"/>
              <w:right w:val="single" w:sz="8" w:space="0" w:color="auto"/>
            </w:tcBorders>
            <w:shd w:val="clear" w:color="auto" w:fill="auto"/>
            <w:vAlign w:val="center"/>
            <w:hideMark/>
          </w:tcPr>
          <w:p w14:paraId="09D16827"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2017</w:t>
            </w:r>
          </w:p>
        </w:tc>
        <w:tc>
          <w:tcPr>
            <w:tcW w:w="922" w:type="dxa"/>
            <w:tcBorders>
              <w:top w:val="nil"/>
              <w:left w:val="nil"/>
              <w:bottom w:val="single" w:sz="4" w:space="0" w:color="auto"/>
              <w:right w:val="single" w:sz="8" w:space="0" w:color="auto"/>
            </w:tcBorders>
            <w:shd w:val="clear" w:color="auto" w:fill="auto"/>
            <w:vAlign w:val="center"/>
            <w:hideMark/>
          </w:tcPr>
          <w:p w14:paraId="41954C4D"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82</w:t>
            </w:r>
          </w:p>
        </w:tc>
        <w:tc>
          <w:tcPr>
            <w:tcW w:w="1322" w:type="dxa"/>
            <w:tcBorders>
              <w:top w:val="nil"/>
              <w:left w:val="nil"/>
              <w:bottom w:val="single" w:sz="4" w:space="0" w:color="auto"/>
              <w:right w:val="single" w:sz="8" w:space="0" w:color="auto"/>
            </w:tcBorders>
            <w:shd w:val="clear" w:color="auto" w:fill="auto"/>
            <w:vAlign w:val="center"/>
            <w:hideMark/>
          </w:tcPr>
          <w:p w14:paraId="179CFF4A"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34</w:t>
            </w:r>
          </w:p>
        </w:tc>
        <w:tc>
          <w:tcPr>
            <w:tcW w:w="1133" w:type="dxa"/>
            <w:tcBorders>
              <w:top w:val="nil"/>
              <w:left w:val="nil"/>
              <w:bottom w:val="single" w:sz="4" w:space="0" w:color="auto"/>
              <w:right w:val="single" w:sz="8" w:space="0" w:color="auto"/>
            </w:tcBorders>
            <w:shd w:val="clear" w:color="auto" w:fill="auto"/>
            <w:vAlign w:val="center"/>
            <w:hideMark/>
          </w:tcPr>
          <w:p w14:paraId="7CFA8123"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54</w:t>
            </w:r>
          </w:p>
        </w:tc>
        <w:tc>
          <w:tcPr>
            <w:tcW w:w="1147" w:type="dxa"/>
            <w:tcBorders>
              <w:top w:val="nil"/>
              <w:left w:val="nil"/>
              <w:bottom w:val="single" w:sz="4" w:space="0" w:color="auto"/>
              <w:right w:val="single" w:sz="8" w:space="0" w:color="auto"/>
            </w:tcBorders>
            <w:shd w:val="clear" w:color="auto" w:fill="auto"/>
            <w:vAlign w:val="center"/>
            <w:hideMark/>
          </w:tcPr>
          <w:p w14:paraId="313911F4"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322" w:type="dxa"/>
            <w:tcBorders>
              <w:top w:val="nil"/>
              <w:left w:val="nil"/>
              <w:bottom w:val="single" w:sz="4" w:space="0" w:color="auto"/>
              <w:right w:val="single" w:sz="8" w:space="0" w:color="auto"/>
            </w:tcBorders>
            <w:shd w:val="clear" w:color="auto" w:fill="auto"/>
            <w:vAlign w:val="center"/>
            <w:hideMark/>
          </w:tcPr>
          <w:p w14:paraId="75728964"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133" w:type="dxa"/>
            <w:tcBorders>
              <w:top w:val="nil"/>
              <w:left w:val="nil"/>
              <w:bottom w:val="single" w:sz="4" w:space="0" w:color="auto"/>
              <w:right w:val="single" w:sz="8" w:space="0" w:color="auto"/>
            </w:tcBorders>
            <w:shd w:val="clear" w:color="auto" w:fill="auto"/>
            <w:vAlign w:val="center"/>
            <w:hideMark/>
          </w:tcPr>
          <w:p w14:paraId="460DB3AB"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14</w:t>
            </w:r>
          </w:p>
        </w:tc>
        <w:tc>
          <w:tcPr>
            <w:tcW w:w="817" w:type="dxa"/>
            <w:tcBorders>
              <w:top w:val="nil"/>
              <w:left w:val="nil"/>
              <w:bottom w:val="single" w:sz="4" w:space="0" w:color="auto"/>
              <w:right w:val="single" w:sz="8" w:space="0" w:color="auto"/>
            </w:tcBorders>
            <w:shd w:val="clear" w:color="auto" w:fill="auto"/>
            <w:vAlign w:val="center"/>
            <w:hideMark/>
          </w:tcPr>
          <w:p w14:paraId="16B28828"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c>
          <w:tcPr>
            <w:tcW w:w="1743" w:type="dxa"/>
            <w:tcBorders>
              <w:top w:val="nil"/>
              <w:left w:val="nil"/>
              <w:bottom w:val="single" w:sz="4" w:space="0" w:color="auto"/>
              <w:right w:val="single" w:sz="8" w:space="0" w:color="auto"/>
            </w:tcBorders>
            <w:shd w:val="clear" w:color="auto" w:fill="auto"/>
            <w:vAlign w:val="center"/>
            <w:hideMark/>
          </w:tcPr>
          <w:p w14:paraId="5A1E229F"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0</w:t>
            </w:r>
          </w:p>
        </w:tc>
      </w:tr>
      <w:tr w:rsidR="003372A0" w:rsidRPr="00EF7812" w14:paraId="790EE31F" w14:textId="77777777" w:rsidTr="00966CB0">
        <w:trPr>
          <w:trHeight w:val="236"/>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A03DF"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2018</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54F6" w14:textId="77777777" w:rsidR="003372A0" w:rsidRPr="00EF7812" w:rsidRDefault="003372A0" w:rsidP="00966CB0">
            <w:pPr>
              <w:spacing w:after="0" w:line="240" w:lineRule="auto"/>
              <w:jc w:val="center"/>
              <w:rPr>
                <w:rFonts w:ascii="Century Gothic" w:hAnsi="Century Gothic"/>
                <w:sz w:val="16"/>
                <w:szCs w:val="16"/>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17C4"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42</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F8F19"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99</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18434" w14:textId="77777777" w:rsidR="003372A0" w:rsidRPr="00EF7812" w:rsidRDefault="003372A0" w:rsidP="00966CB0">
            <w:pPr>
              <w:spacing w:after="0" w:line="240" w:lineRule="auto"/>
              <w:jc w:val="center"/>
              <w:rPr>
                <w:rFonts w:ascii="Century Gothic" w:hAnsi="Century Gothic"/>
                <w:sz w:val="16"/>
                <w:szCs w:val="16"/>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99BBB" w14:textId="77777777" w:rsidR="003372A0" w:rsidRPr="00EF7812" w:rsidRDefault="003372A0" w:rsidP="00966CB0">
            <w:pPr>
              <w:spacing w:after="0" w:line="240" w:lineRule="auto"/>
              <w:jc w:val="center"/>
              <w:rPr>
                <w:rFonts w:ascii="Century Gothic" w:hAnsi="Century Gothic"/>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80A6F"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15</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51253"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CD75D"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6</w:t>
            </w:r>
          </w:p>
        </w:tc>
      </w:tr>
      <w:tr w:rsidR="003372A0" w:rsidRPr="00EF7812" w14:paraId="1918C824" w14:textId="77777777" w:rsidTr="00966CB0">
        <w:trPr>
          <w:trHeight w:val="236"/>
        </w:trPr>
        <w:tc>
          <w:tcPr>
            <w:tcW w:w="29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2C2262"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Quantidade de cartórios conciliados</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772FE8D5"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157</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4042E6A" w14:textId="77777777" w:rsidR="003372A0" w:rsidRPr="00EF7812" w:rsidRDefault="003372A0" w:rsidP="00966CB0">
            <w:pPr>
              <w:spacing w:after="0" w:line="240" w:lineRule="auto"/>
              <w:jc w:val="center"/>
              <w:rPr>
                <w:rFonts w:ascii="Century Gothic" w:hAnsi="Century Gothic"/>
                <w:sz w:val="16"/>
                <w:szCs w:val="16"/>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2F7555E0" w14:textId="77777777" w:rsidR="003372A0" w:rsidRPr="00EF7812" w:rsidRDefault="003372A0" w:rsidP="00966CB0">
            <w:pPr>
              <w:spacing w:after="0" w:line="240" w:lineRule="auto"/>
              <w:jc w:val="center"/>
              <w:rPr>
                <w:rFonts w:ascii="Century Gothic" w:hAnsi="Century Gothic"/>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436C4326" w14:textId="77777777" w:rsidR="003372A0" w:rsidRPr="00EF7812" w:rsidRDefault="003372A0" w:rsidP="00966CB0">
            <w:pPr>
              <w:spacing w:after="0" w:line="240" w:lineRule="auto"/>
              <w:jc w:val="center"/>
              <w:rPr>
                <w:rFonts w:ascii="Century Gothic" w:hAnsi="Century Gothic"/>
                <w:sz w:val="16"/>
                <w:szCs w:val="16"/>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2B58DB4D" w14:textId="77777777" w:rsidR="003372A0" w:rsidRPr="00EF7812" w:rsidRDefault="003372A0" w:rsidP="00966CB0">
            <w:pPr>
              <w:spacing w:after="0" w:line="240" w:lineRule="auto"/>
              <w:jc w:val="center"/>
              <w:rPr>
                <w:rFonts w:ascii="Century Gothic" w:hAnsi="Century Gothic"/>
                <w:sz w:val="16"/>
                <w:szCs w:val="16"/>
              </w:rPr>
            </w:pP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0AE1F24A" w14:textId="77777777" w:rsidR="003372A0" w:rsidRPr="00EF7812" w:rsidRDefault="003372A0" w:rsidP="00966CB0">
            <w:pPr>
              <w:spacing w:after="0" w:line="240" w:lineRule="auto"/>
              <w:jc w:val="center"/>
              <w:rPr>
                <w:rFonts w:ascii="Century Gothic" w:hAnsi="Century Gothic"/>
                <w:sz w:val="16"/>
                <w:szCs w:val="16"/>
              </w:rPr>
            </w:pPr>
          </w:p>
        </w:tc>
      </w:tr>
    </w:tbl>
    <w:p w14:paraId="66C2DCF3" w14:textId="77777777" w:rsidR="003372A0" w:rsidRPr="00EF7812" w:rsidRDefault="003372A0" w:rsidP="003372A0">
      <w:pPr>
        <w:spacing w:line="360" w:lineRule="auto"/>
        <w:jc w:val="both"/>
        <w:rPr>
          <w:rFonts w:ascii="Century Gothic" w:hAnsi="Century Gothic"/>
          <w:sz w:val="16"/>
          <w:szCs w:val="16"/>
        </w:rPr>
      </w:pPr>
    </w:p>
    <w:p w14:paraId="5CA3483E" w14:textId="77777777" w:rsidR="003372A0" w:rsidRPr="00EF7812" w:rsidRDefault="003372A0" w:rsidP="003372A0">
      <w:pPr>
        <w:spacing w:line="360" w:lineRule="auto"/>
        <w:ind w:firstLine="1418"/>
        <w:jc w:val="both"/>
        <w:rPr>
          <w:rFonts w:ascii="Century Gothic" w:hAnsi="Century Gothic"/>
        </w:rPr>
      </w:pPr>
      <w:r w:rsidRPr="00EF7812">
        <w:rPr>
          <w:rFonts w:ascii="Century Gothic" w:hAnsi="Century Gothic"/>
        </w:rPr>
        <w:t>Traduzindo o trabalho em termos de valores temos:</w:t>
      </w:r>
    </w:p>
    <w:tbl>
      <w:tblPr>
        <w:tblW w:w="10189" w:type="dxa"/>
        <w:tblInd w:w="-10" w:type="dxa"/>
        <w:tblCellMar>
          <w:left w:w="70" w:type="dxa"/>
          <w:right w:w="70" w:type="dxa"/>
        </w:tblCellMar>
        <w:tblLook w:val="04A0" w:firstRow="1" w:lastRow="0" w:firstColumn="1" w:lastColumn="0" w:noHBand="0" w:noVBand="1"/>
      </w:tblPr>
      <w:tblGrid>
        <w:gridCol w:w="1019"/>
        <w:gridCol w:w="2210"/>
        <w:gridCol w:w="2300"/>
        <w:gridCol w:w="2409"/>
        <w:gridCol w:w="2251"/>
      </w:tblGrid>
      <w:tr w:rsidR="003372A0" w:rsidRPr="00EF7812" w14:paraId="09D71D1E" w14:textId="77777777" w:rsidTr="00966CB0">
        <w:trPr>
          <w:trHeight w:val="589"/>
        </w:trPr>
        <w:tc>
          <w:tcPr>
            <w:tcW w:w="101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1756EC" w14:textId="77777777" w:rsidR="003372A0" w:rsidRPr="00EF7812" w:rsidRDefault="003372A0" w:rsidP="00966CB0">
            <w:pPr>
              <w:spacing w:after="0" w:line="240" w:lineRule="auto"/>
              <w:jc w:val="both"/>
              <w:rPr>
                <w:rFonts w:ascii="Century Gothic" w:hAnsi="Century Gothic"/>
                <w:sz w:val="16"/>
                <w:szCs w:val="16"/>
              </w:rPr>
            </w:pPr>
            <w:bookmarkStart w:id="0" w:name="OLE_LINK2"/>
            <w:r w:rsidRPr="00EF7812">
              <w:rPr>
                <w:rFonts w:ascii="Century Gothic" w:hAnsi="Century Gothic"/>
                <w:sz w:val="16"/>
                <w:szCs w:val="16"/>
              </w:rPr>
              <w:t>Ano</w:t>
            </w:r>
          </w:p>
        </w:tc>
        <w:tc>
          <w:tcPr>
            <w:tcW w:w="2210" w:type="dxa"/>
            <w:tcBorders>
              <w:top w:val="single" w:sz="4" w:space="0" w:color="auto"/>
              <w:left w:val="single" w:sz="4" w:space="0" w:color="auto"/>
              <w:bottom w:val="single" w:sz="4" w:space="0" w:color="auto"/>
              <w:right w:val="single" w:sz="4" w:space="0" w:color="auto"/>
            </w:tcBorders>
            <w:shd w:val="clear" w:color="000000" w:fill="D6E3BC"/>
            <w:vAlign w:val="center"/>
            <w:hideMark/>
          </w:tcPr>
          <w:p w14:paraId="3D6EAB39"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 xml:space="preserve">Valor Principal </w:t>
            </w:r>
          </w:p>
        </w:tc>
        <w:tc>
          <w:tcPr>
            <w:tcW w:w="2300" w:type="dxa"/>
            <w:tcBorders>
              <w:top w:val="single" w:sz="8" w:space="0" w:color="auto"/>
              <w:left w:val="single" w:sz="4" w:space="0" w:color="auto"/>
              <w:bottom w:val="single" w:sz="8" w:space="0" w:color="auto"/>
              <w:right w:val="single" w:sz="8" w:space="0" w:color="auto"/>
            </w:tcBorders>
            <w:shd w:val="clear" w:color="000000" w:fill="D6E3BC"/>
            <w:vAlign w:val="center"/>
            <w:hideMark/>
          </w:tcPr>
          <w:p w14:paraId="59AB7D8D"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 xml:space="preserve">Acréscimos legais </w:t>
            </w:r>
          </w:p>
        </w:tc>
        <w:tc>
          <w:tcPr>
            <w:tcW w:w="2409" w:type="dxa"/>
            <w:tcBorders>
              <w:top w:val="single" w:sz="8" w:space="0" w:color="auto"/>
              <w:left w:val="nil"/>
              <w:bottom w:val="single" w:sz="8" w:space="0" w:color="auto"/>
              <w:right w:val="single" w:sz="8" w:space="0" w:color="auto"/>
            </w:tcBorders>
            <w:shd w:val="clear" w:color="000000" w:fill="D6E3BC"/>
            <w:vAlign w:val="center"/>
            <w:hideMark/>
          </w:tcPr>
          <w:p w14:paraId="22FC6DE1"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Devoluções realizadas</w:t>
            </w:r>
          </w:p>
        </w:tc>
        <w:tc>
          <w:tcPr>
            <w:tcW w:w="2251" w:type="dxa"/>
            <w:tcBorders>
              <w:top w:val="single" w:sz="8" w:space="0" w:color="auto"/>
              <w:left w:val="nil"/>
              <w:bottom w:val="single" w:sz="8" w:space="0" w:color="auto"/>
              <w:right w:val="single" w:sz="8" w:space="0" w:color="auto"/>
            </w:tcBorders>
            <w:shd w:val="clear" w:color="000000" w:fill="D6E3BC"/>
            <w:vAlign w:val="center"/>
            <w:hideMark/>
          </w:tcPr>
          <w:p w14:paraId="49101A8B"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Total liquido</w:t>
            </w:r>
          </w:p>
        </w:tc>
      </w:tr>
      <w:tr w:rsidR="003372A0" w:rsidRPr="00EF7812" w14:paraId="144CCA01" w14:textId="77777777" w:rsidTr="00966CB0">
        <w:trPr>
          <w:trHeight w:val="309"/>
        </w:trPr>
        <w:tc>
          <w:tcPr>
            <w:tcW w:w="10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4BA7A"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2015</w:t>
            </w:r>
          </w:p>
        </w:tc>
        <w:tc>
          <w:tcPr>
            <w:tcW w:w="221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AF2A51A"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67.683.829,38</w:t>
            </w:r>
          </w:p>
        </w:tc>
        <w:tc>
          <w:tcPr>
            <w:tcW w:w="2300" w:type="dxa"/>
            <w:tcBorders>
              <w:top w:val="nil"/>
              <w:left w:val="nil"/>
              <w:bottom w:val="single" w:sz="8" w:space="0" w:color="auto"/>
              <w:right w:val="single" w:sz="8" w:space="0" w:color="auto"/>
            </w:tcBorders>
            <w:shd w:val="clear" w:color="auto" w:fill="auto"/>
            <w:vAlign w:val="center"/>
            <w:hideMark/>
          </w:tcPr>
          <w:p w14:paraId="39B49490"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12.246,37</w:t>
            </w:r>
          </w:p>
        </w:tc>
        <w:tc>
          <w:tcPr>
            <w:tcW w:w="2409" w:type="dxa"/>
            <w:tcBorders>
              <w:top w:val="nil"/>
              <w:left w:val="nil"/>
              <w:bottom w:val="single" w:sz="8" w:space="0" w:color="auto"/>
              <w:right w:val="single" w:sz="8" w:space="0" w:color="auto"/>
            </w:tcBorders>
            <w:shd w:val="clear" w:color="auto" w:fill="auto"/>
            <w:vAlign w:val="center"/>
            <w:hideMark/>
          </w:tcPr>
          <w:p w14:paraId="5FB4220A"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882,32</w:t>
            </w:r>
          </w:p>
        </w:tc>
        <w:tc>
          <w:tcPr>
            <w:tcW w:w="2251" w:type="dxa"/>
            <w:tcBorders>
              <w:top w:val="nil"/>
              <w:left w:val="nil"/>
              <w:bottom w:val="single" w:sz="8" w:space="0" w:color="auto"/>
              <w:right w:val="single" w:sz="8" w:space="0" w:color="auto"/>
            </w:tcBorders>
            <w:shd w:val="clear" w:color="auto" w:fill="auto"/>
            <w:vAlign w:val="center"/>
            <w:hideMark/>
          </w:tcPr>
          <w:p w14:paraId="1C8ACFA6"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67.695.193,43</w:t>
            </w:r>
          </w:p>
        </w:tc>
      </w:tr>
      <w:tr w:rsidR="003372A0" w:rsidRPr="00EF7812" w14:paraId="5B3EF829" w14:textId="77777777" w:rsidTr="00966CB0">
        <w:trPr>
          <w:trHeight w:val="309"/>
        </w:trPr>
        <w:tc>
          <w:tcPr>
            <w:tcW w:w="101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0EE52C4"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2016</w:t>
            </w:r>
          </w:p>
        </w:tc>
        <w:tc>
          <w:tcPr>
            <w:tcW w:w="2210" w:type="dxa"/>
            <w:tcBorders>
              <w:top w:val="nil"/>
              <w:left w:val="nil"/>
              <w:bottom w:val="single" w:sz="8" w:space="0" w:color="auto"/>
              <w:right w:val="single" w:sz="8" w:space="0" w:color="auto"/>
            </w:tcBorders>
            <w:shd w:val="clear" w:color="auto" w:fill="auto"/>
            <w:vAlign w:val="center"/>
            <w:hideMark/>
          </w:tcPr>
          <w:p w14:paraId="31EA1134"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144.432.646,90</w:t>
            </w:r>
          </w:p>
        </w:tc>
        <w:tc>
          <w:tcPr>
            <w:tcW w:w="2300" w:type="dxa"/>
            <w:tcBorders>
              <w:top w:val="nil"/>
              <w:left w:val="nil"/>
              <w:bottom w:val="single" w:sz="8" w:space="0" w:color="auto"/>
              <w:right w:val="single" w:sz="8" w:space="0" w:color="auto"/>
            </w:tcBorders>
            <w:shd w:val="clear" w:color="auto" w:fill="auto"/>
            <w:vAlign w:val="center"/>
            <w:hideMark/>
          </w:tcPr>
          <w:p w14:paraId="7BA2D639"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100.378,91</w:t>
            </w:r>
          </w:p>
        </w:tc>
        <w:tc>
          <w:tcPr>
            <w:tcW w:w="2409" w:type="dxa"/>
            <w:tcBorders>
              <w:top w:val="nil"/>
              <w:left w:val="nil"/>
              <w:bottom w:val="single" w:sz="8" w:space="0" w:color="auto"/>
              <w:right w:val="single" w:sz="8" w:space="0" w:color="auto"/>
            </w:tcBorders>
            <w:shd w:val="clear" w:color="auto" w:fill="auto"/>
            <w:vAlign w:val="center"/>
            <w:hideMark/>
          </w:tcPr>
          <w:p w14:paraId="31013CD9"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287.721,14</w:t>
            </w:r>
          </w:p>
        </w:tc>
        <w:tc>
          <w:tcPr>
            <w:tcW w:w="2251" w:type="dxa"/>
            <w:tcBorders>
              <w:top w:val="nil"/>
              <w:left w:val="nil"/>
              <w:bottom w:val="single" w:sz="8" w:space="0" w:color="auto"/>
              <w:right w:val="single" w:sz="8" w:space="0" w:color="auto"/>
            </w:tcBorders>
            <w:shd w:val="clear" w:color="auto" w:fill="auto"/>
            <w:vAlign w:val="center"/>
            <w:hideMark/>
          </w:tcPr>
          <w:p w14:paraId="1788194A"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144.245.304,67</w:t>
            </w:r>
          </w:p>
        </w:tc>
      </w:tr>
      <w:tr w:rsidR="003372A0" w:rsidRPr="00EF7812" w14:paraId="17587540" w14:textId="77777777" w:rsidTr="00966CB0">
        <w:trPr>
          <w:trHeight w:val="309"/>
        </w:trPr>
        <w:tc>
          <w:tcPr>
            <w:tcW w:w="1019" w:type="dxa"/>
            <w:tcBorders>
              <w:top w:val="nil"/>
              <w:left w:val="single" w:sz="8" w:space="0" w:color="auto"/>
              <w:bottom w:val="single" w:sz="8" w:space="0" w:color="auto"/>
              <w:right w:val="single" w:sz="8" w:space="0" w:color="auto"/>
            </w:tcBorders>
            <w:shd w:val="clear" w:color="auto" w:fill="auto"/>
            <w:vAlign w:val="center"/>
            <w:hideMark/>
          </w:tcPr>
          <w:p w14:paraId="19C3134A"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2017</w:t>
            </w:r>
          </w:p>
        </w:tc>
        <w:tc>
          <w:tcPr>
            <w:tcW w:w="2210" w:type="dxa"/>
            <w:tcBorders>
              <w:top w:val="nil"/>
              <w:left w:val="nil"/>
              <w:bottom w:val="single" w:sz="8" w:space="0" w:color="auto"/>
              <w:right w:val="single" w:sz="8" w:space="0" w:color="auto"/>
            </w:tcBorders>
            <w:shd w:val="clear" w:color="auto" w:fill="auto"/>
            <w:vAlign w:val="center"/>
            <w:hideMark/>
          </w:tcPr>
          <w:p w14:paraId="6BC7C1EA"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153.106.567,16</w:t>
            </w:r>
          </w:p>
        </w:tc>
        <w:tc>
          <w:tcPr>
            <w:tcW w:w="2300" w:type="dxa"/>
            <w:tcBorders>
              <w:top w:val="nil"/>
              <w:left w:val="nil"/>
              <w:bottom w:val="single" w:sz="8" w:space="0" w:color="auto"/>
              <w:right w:val="single" w:sz="8" w:space="0" w:color="auto"/>
            </w:tcBorders>
            <w:shd w:val="clear" w:color="auto" w:fill="auto"/>
            <w:vAlign w:val="center"/>
            <w:hideMark/>
          </w:tcPr>
          <w:p w14:paraId="69672B83"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390.303,27</w:t>
            </w:r>
          </w:p>
        </w:tc>
        <w:tc>
          <w:tcPr>
            <w:tcW w:w="2409" w:type="dxa"/>
            <w:tcBorders>
              <w:top w:val="nil"/>
              <w:left w:val="nil"/>
              <w:bottom w:val="single" w:sz="8" w:space="0" w:color="auto"/>
              <w:right w:val="single" w:sz="8" w:space="0" w:color="auto"/>
            </w:tcBorders>
            <w:shd w:val="clear" w:color="auto" w:fill="auto"/>
            <w:vAlign w:val="center"/>
            <w:hideMark/>
          </w:tcPr>
          <w:p w14:paraId="35FD2405"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1.692.695,91</w:t>
            </w:r>
          </w:p>
        </w:tc>
        <w:tc>
          <w:tcPr>
            <w:tcW w:w="2251" w:type="dxa"/>
            <w:tcBorders>
              <w:top w:val="nil"/>
              <w:left w:val="nil"/>
              <w:bottom w:val="single" w:sz="8" w:space="0" w:color="auto"/>
              <w:right w:val="single" w:sz="8" w:space="0" w:color="auto"/>
            </w:tcBorders>
            <w:shd w:val="clear" w:color="auto" w:fill="auto"/>
            <w:vAlign w:val="center"/>
            <w:hideMark/>
          </w:tcPr>
          <w:p w14:paraId="4B5BAF14"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151.804.174,52</w:t>
            </w:r>
          </w:p>
        </w:tc>
      </w:tr>
      <w:tr w:rsidR="003372A0" w:rsidRPr="00EF7812" w14:paraId="213619BA" w14:textId="77777777" w:rsidTr="00966CB0">
        <w:trPr>
          <w:trHeight w:val="309"/>
        </w:trPr>
        <w:tc>
          <w:tcPr>
            <w:tcW w:w="1019" w:type="dxa"/>
            <w:tcBorders>
              <w:top w:val="nil"/>
              <w:left w:val="single" w:sz="8" w:space="0" w:color="auto"/>
              <w:bottom w:val="single" w:sz="8" w:space="0" w:color="auto"/>
              <w:right w:val="single" w:sz="8" w:space="0" w:color="auto"/>
            </w:tcBorders>
            <w:shd w:val="clear" w:color="auto" w:fill="auto"/>
            <w:vAlign w:val="center"/>
            <w:hideMark/>
          </w:tcPr>
          <w:p w14:paraId="3796C9B4" w14:textId="77777777" w:rsidR="003372A0" w:rsidRPr="00EF7812" w:rsidRDefault="003372A0" w:rsidP="00966CB0">
            <w:pPr>
              <w:spacing w:after="0" w:line="240" w:lineRule="auto"/>
              <w:jc w:val="both"/>
              <w:rPr>
                <w:rFonts w:ascii="Century Gothic" w:hAnsi="Century Gothic"/>
                <w:sz w:val="16"/>
                <w:szCs w:val="16"/>
              </w:rPr>
            </w:pPr>
            <w:r w:rsidRPr="00EF7812">
              <w:rPr>
                <w:rFonts w:ascii="Century Gothic" w:hAnsi="Century Gothic"/>
                <w:sz w:val="16"/>
                <w:szCs w:val="16"/>
              </w:rPr>
              <w:t>2018</w:t>
            </w:r>
          </w:p>
        </w:tc>
        <w:tc>
          <w:tcPr>
            <w:tcW w:w="2210" w:type="dxa"/>
            <w:tcBorders>
              <w:top w:val="nil"/>
              <w:left w:val="nil"/>
              <w:bottom w:val="single" w:sz="8" w:space="0" w:color="auto"/>
              <w:right w:val="single" w:sz="8" w:space="0" w:color="auto"/>
            </w:tcBorders>
            <w:shd w:val="clear" w:color="auto" w:fill="auto"/>
            <w:vAlign w:val="center"/>
            <w:hideMark/>
          </w:tcPr>
          <w:p w14:paraId="2EC4D3BC"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158.675.575,46</w:t>
            </w:r>
          </w:p>
        </w:tc>
        <w:tc>
          <w:tcPr>
            <w:tcW w:w="2300" w:type="dxa"/>
            <w:tcBorders>
              <w:top w:val="nil"/>
              <w:left w:val="nil"/>
              <w:bottom w:val="single" w:sz="8" w:space="0" w:color="auto"/>
              <w:right w:val="single" w:sz="8" w:space="0" w:color="auto"/>
            </w:tcBorders>
            <w:shd w:val="clear" w:color="auto" w:fill="auto"/>
            <w:vAlign w:val="center"/>
            <w:hideMark/>
          </w:tcPr>
          <w:p w14:paraId="4FFBA8DD"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371.511,05</w:t>
            </w:r>
          </w:p>
        </w:tc>
        <w:tc>
          <w:tcPr>
            <w:tcW w:w="2409" w:type="dxa"/>
            <w:tcBorders>
              <w:top w:val="nil"/>
              <w:left w:val="nil"/>
              <w:bottom w:val="single" w:sz="8" w:space="0" w:color="auto"/>
              <w:right w:val="single" w:sz="8" w:space="0" w:color="auto"/>
            </w:tcBorders>
            <w:shd w:val="clear" w:color="auto" w:fill="auto"/>
            <w:vAlign w:val="center"/>
            <w:hideMark/>
          </w:tcPr>
          <w:p w14:paraId="048A10C3"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12.383,61</w:t>
            </w:r>
          </w:p>
        </w:tc>
        <w:tc>
          <w:tcPr>
            <w:tcW w:w="2251" w:type="dxa"/>
            <w:tcBorders>
              <w:top w:val="nil"/>
              <w:left w:val="nil"/>
              <w:bottom w:val="single" w:sz="8" w:space="0" w:color="auto"/>
              <w:right w:val="single" w:sz="8" w:space="0" w:color="auto"/>
            </w:tcBorders>
            <w:shd w:val="clear" w:color="auto" w:fill="auto"/>
            <w:vAlign w:val="center"/>
            <w:hideMark/>
          </w:tcPr>
          <w:p w14:paraId="3FB1C096"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159.034.702,90</w:t>
            </w:r>
          </w:p>
        </w:tc>
      </w:tr>
      <w:bookmarkEnd w:id="0"/>
    </w:tbl>
    <w:p w14:paraId="3385C93E" w14:textId="77777777" w:rsidR="003372A0" w:rsidRDefault="003372A0" w:rsidP="003372A0">
      <w:pPr>
        <w:spacing w:line="360" w:lineRule="auto"/>
        <w:ind w:firstLine="1418"/>
        <w:jc w:val="both"/>
        <w:rPr>
          <w:rFonts w:ascii="Century Gothic" w:hAnsi="Century Gothic"/>
        </w:rPr>
      </w:pPr>
    </w:p>
    <w:p w14:paraId="2E860CBE" w14:textId="77777777" w:rsidR="003372A0" w:rsidRDefault="003372A0" w:rsidP="003372A0">
      <w:pPr>
        <w:spacing w:line="360" w:lineRule="auto"/>
        <w:ind w:firstLine="1418"/>
        <w:jc w:val="both"/>
        <w:rPr>
          <w:rFonts w:ascii="Century Gothic" w:hAnsi="Century Gothic"/>
        </w:rPr>
      </w:pPr>
      <w:r w:rsidRPr="00EF7812">
        <w:rPr>
          <w:rFonts w:ascii="Century Gothic" w:hAnsi="Century Gothic"/>
        </w:rPr>
        <w:t>Cabe salientar que</w:t>
      </w:r>
      <w:r>
        <w:rPr>
          <w:rFonts w:ascii="Century Gothic" w:hAnsi="Century Gothic"/>
        </w:rPr>
        <w:t xml:space="preserve">, conforme demonstra o gráfico abaixo, </w:t>
      </w:r>
      <w:r w:rsidRPr="00EF7812">
        <w:rPr>
          <w:rFonts w:ascii="Century Gothic" w:hAnsi="Century Gothic"/>
        </w:rPr>
        <w:t xml:space="preserve"> até o momento foi conciliado 10% das serventias para o período de 03/07/2015 a 02/07/2020.</w:t>
      </w:r>
      <w:r>
        <w:rPr>
          <w:rFonts w:ascii="Century Gothic" w:hAnsi="Century Gothic"/>
        </w:rPr>
        <w:t xml:space="preserve"> Constitui preocupação da subárea e do Centro de Finanças o fato do prazo de prescrição estar próximo e o tempo do trâmite de cobrança ser longo.</w:t>
      </w:r>
    </w:p>
    <w:p w14:paraId="67A397DB" w14:textId="77777777" w:rsidR="003372A0" w:rsidRDefault="003372A0" w:rsidP="003372A0">
      <w:pPr>
        <w:spacing w:line="360" w:lineRule="auto"/>
        <w:ind w:firstLine="1418"/>
        <w:jc w:val="center"/>
        <w:rPr>
          <w:rFonts w:ascii="Century Gothic" w:hAnsi="Century Gothic"/>
        </w:rPr>
      </w:pPr>
      <w:r w:rsidRPr="00EF7812">
        <w:rPr>
          <w:rFonts w:ascii="Century Gothic" w:hAnsi="Century Gothic"/>
          <w:noProof/>
        </w:rPr>
        <w:drawing>
          <wp:inline distT="0" distB="0" distL="0" distR="0" wp14:anchorId="652DDD2B" wp14:editId="2B8AA343">
            <wp:extent cx="1968581" cy="1809238"/>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0842" cy="1838888"/>
                    </a:xfrm>
                    <a:prstGeom prst="rect">
                      <a:avLst/>
                    </a:prstGeom>
                  </pic:spPr>
                </pic:pic>
              </a:graphicData>
            </a:graphic>
          </wp:inline>
        </w:drawing>
      </w:r>
    </w:p>
    <w:p w14:paraId="0A05ADAA" w14:textId="77777777" w:rsidR="003372A0" w:rsidRDefault="003372A0" w:rsidP="003372A0">
      <w:pPr>
        <w:spacing w:line="360" w:lineRule="auto"/>
        <w:ind w:firstLine="1418"/>
        <w:jc w:val="center"/>
        <w:rPr>
          <w:rFonts w:ascii="Century Gothic" w:hAnsi="Century Gothic"/>
        </w:rPr>
      </w:pPr>
    </w:p>
    <w:p w14:paraId="16E404F6" w14:textId="77777777" w:rsidR="003372A0" w:rsidRDefault="003372A0" w:rsidP="003372A0">
      <w:pPr>
        <w:spacing w:line="360" w:lineRule="auto"/>
        <w:ind w:firstLine="1418"/>
        <w:jc w:val="both"/>
        <w:rPr>
          <w:rFonts w:ascii="Century Gothic" w:hAnsi="Century Gothic"/>
        </w:rPr>
      </w:pPr>
      <w:r>
        <w:rPr>
          <w:rFonts w:ascii="Century Gothic" w:hAnsi="Century Gothic"/>
        </w:rPr>
        <w:t xml:space="preserve">Com a estrutura que temos até meados de 2018,  conseguimos conciliar serventias que solicitaram devolução (em atendimento ao § 3º do Arto 12 do Ato Normativo nº 1.103/2018 e casos encaminhados pelas promotorias e juízo (com aumento expressivo em 2018 conforme tabela abaixo.) </w:t>
      </w:r>
    </w:p>
    <w:tbl>
      <w:tblPr>
        <w:tblW w:w="9437" w:type="dxa"/>
        <w:jc w:val="center"/>
        <w:tblCellMar>
          <w:left w:w="70" w:type="dxa"/>
          <w:right w:w="70" w:type="dxa"/>
        </w:tblCellMar>
        <w:tblLook w:val="04A0" w:firstRow="1" w:lastRow="0" w:firstColumn="1" w:lastColumn="0" w:noHBand="0" w:noVBand="1"/>
      </w:tblPr>
      <w:tblGrid>
        <w:gridCol w:w="913"/>
        <w:gridCol w:w="627"/>
        <w:gridCol w:w="6541"/>
        <w:gridCol w:w="1356"/>
      </w:tblGrid>
      <w:tr w:rsidR="003372A0" w:rsidRPr="00D00CE7" w14:paraId="2D075925" w14:textId="77777777" w:rsidTr="00966CB0">
        <w:trPr>
          <w:trHeight w:val="330"/>
          <w:jc w:val="center"/>
        </w:trPr>
        <w:tc>
          <w:tcPr>
            <w:tcW w:w="913" w:type="dxa"/>
            <w:tcBorders>
              <w:top w:val="single" w:sz="8" w:space="0" w:color="auto"/>
              <w:left w:val="single" w:sz="8" w:space="0" w:color="auto"/>
              <w:bottom w:val="nil"/>
              <w:right w:val="nil"/>
            </w:tcBorders>
            <w:shd w:val="clear" w:color="000000" w:fill="FCE4D6"/>
            <w:noWrap/>
            <w:vAlign w:val="bottom"/>
            <w:hideMark/>
          </w:tcPr>
          <w:p w14:paraId="449F1FAB"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data</w:t>
            </w:r>
          </w:p>
        </w:tc>
        <w:tc>
          <w:tcPr>
            <w:tcW w:w="627" w:type="dxa"/>
            <w:tcBorders>
              <w:top w:val="single" w:sz="8" w:space="0" w:color="auto"/>
              <w:left w:val="nil"/>
              <w:bottom w:val="nil"/>
              <w:right w:val="nil"/>
            </w:tcBorders>
            <w:shd w:val="clear" w:color="000000" w:fill="FCE4D6"/>
            <w:noWrap/>
            <w:vAlign w:val="bottom"/>
            <w:hideMark/>
          </w:tcPr>
          <w:p w14:paraId="278EB5D8"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CNS</w:t>
            </w:r>
          </w:p>
        </w:tc>
        <w:tc>
          <w:tcPr>
            <w:tcW w:w="6541" w:type="dxa"/>
            <w:tcBorders>
              <w:top w:val="single" w:sz="8" w:space="0" w:color="auto"/>
              <w:left w:val="nil"/>
              <w:bottom w:val="nil"/>
              <w:right w:val="nil"/>
            </w:tcBorders>
            <w:shd w:val="clear" w:color="000000" w:fill="FCE4D6"/>
            <w:noWrap/>
            <w:vAlign w:val="bottom"/>
            <w:hideMark/>
          </w:tcPr>
          <w:p w14:paraId="28E2E754"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Serventia</w:t>
            </w:r>
          </w:p>
        </w:tc>
        <w:tc>
          <w:tcPr>
            <w:tcW w:w="1356" w:type="dxa"/>
            <w:tcBorders>
              <w:top w:val="single" w:sz="8" w:space="0" w:color="auto"/>
              <w:left w:val="nil"/>
              <w:bottom w:val="nil"/>
              <w:right w:val="single" w:sz="8" w:space="0" w:color="auto"/>
            </w:tcBorders>
            <w:shd w:val="clear" w:color="000000" w:fill="FCE4D6"/>
            <w:noWrap/>
            <w:vAlign w:val="bottom"/>
            <w:hideMark/>
          </w:tcPr>
          <w:p w14:paraId="23D13C69"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protocolo</w:t>
            </w:r>
          </w:p>
        </w:tc>
      </w:tr>
      <w:tr w:rsidR="003372A0" w:rsidRPr="00D00CE7" w14:paraId="2F4BE458" w14:textId="77777777" w:rsidTr="00966CB0">
        <w:trPr>
          <w:cantSplit/>
          <w:trHeight w:val="300"/>
          <w:jc w:val="center"/>
        </w:trPr>
        <w:tc>
          <w:tcPr>
            <w:tcW w:w="913" w:type="dxa"/>
            <w:tcBorders>
              <w:top w:val="single" w:sz="4" w:space="0" w:color="auto"/>
              <w:left w:val="single" w:sz="8" w:space="0" w:color="auto"/>
              <w:bottom w:val="nil"/>
              <w:right w:val="single" w:sz="4" w:space="0" w:color="auto"/>
            </w:tcBorders>
            <w:shd w:val="clear" w:color="auto" w:fill="auto"/>
            <w:noWrap/>
            <w:vAlign w:val="bottom"/>
            <w:hideMark/>
          </w:tcPr>
          <w:p w14:paraId="0DF3A17C"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11/04/2016</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5686B8A2"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113639</w:t>
            </w:r>
          </w:p>
        </w:tc>
        <w:tc>
          <w:tcPr>
            <w:tcW w:w="6541" w:type="dxa"/>
            <w:tcBorders>
              <w:top w:val="single" w:sz="4" w:space="0" w:color="auto"/>
              <w:left w:val="nil"/>
              <w:bottom w:val="single" w:sz="4" w:space="0" w:color="auto"/>
              <w:right w:val="single" w:sz="4" w:space="0" w:color="auto"/>
            </w:tcBorders>
            <w:shd w:val="clear" w:color="auto" w:fill="auto"/>
            <w:noWrap/>
            <w:vAlign w:val="bottom"/>
            <w:hideMark/>
          </w:tcPr>
          <w:p w14:paraId="09660D99"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5ª Tabelião de Notas da Comarca da Capital</w:t>
            </w:r>
          </w:p>
        </w:tc>
        <w:tc>
          <w:tcPr>
            <w:tcW w:w="902" w:type="dxa"/>
            <w:tcBorders>
              <w:top w:val="single" w:sz="4" w:space="0" w:color="auto"/>
              <w:left w:val="nil"/>
              <w:bottom w:val="single" w:sz="4" w:space="0" w:color="auto"/>
              <w:right w:val="single" w:sz="8" w:space="0" w:color="auto"/>
            </w:tcBorders>
            <w:shd w:val="clear" w:color="auto" w:fill="auto"/>
            <w:noWrap/>
            <w:vAlign w:val="bottom"/>
            <w:hideMark/>
          </w:tcPr>
          <w:p w14:paraId="2B246BE4"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0047684/16</w:t>
            </w:r>
          </w:p>
        </w:tc>
      </w:tr>
      <w:tr w:rsidR="003372A0" w:rsidRPr="00D00CE7" w14:paraId="16A1A879" w14:textId="77777777" w:rsidTr="00966CB0">
        <w:trPr>
          <w:cantSplit/>
          <w:trHeight w:val="300"/>
          <w:jc w:val="center"/>
        </w:trPr>
        <w:tc>
          <w:tcPr>
            <w:tcW w:w="913" w:type="dxa"/>
            <w:tcBorders>
              <w:top w:val="single" w:sz="4" w:space="0" w:color="auto"/>
              <w:left w:val="single" w:sz="8" w:space="0" w:color="auto"/>
              <w:bottom w:val="nil"/>
              <w:right w:val="single" w:sz="4" w:space="0" w:color="auto"/>
            </w:tcBorders>
            <w:shd w:val="clear" w:color="auto" w:fill="auto"/>
            <w:noWrap/>
            <w:vAlign w:val="bottom"/>
            <w:hideMark/>
          </w:tcPr>
          <w:p w14:paraId="0D83C7A2"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28/07/2017</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138E4628"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113845</w:t>
            </w:r>
          </w:p>
        </w:tc>
        <w:tc>
          <w:tcPr>
            <w:tcW w:w="6541" w:type="dxa"/>
            <w:tcBorders>
              <w:top w:val="single" w:sz="4" w:space="0" w:color="auto"/>
              <w:left w:val="nil"/>
              <w:bottom w:val="single" w:sz="4" w:space="0" w:color="auto"/>
              <w:right w:val="single" w:sz="4" w:space="0" w:color="auto"/>
            </w:tcBorders>
            <w:shd w:val="clear" w:color="auto" w:fill="auto"/>
            <w:noWrap/>
            <w:vAlign w:val="bottom"/>
            <w:hideMark/>
          </w:tcPr>
          <w:p w14:paraId="542617C4"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Tabelião de Notas e de Protesto de Letras e Títulos da Comarca de Promissão</w:t>
            </w:r>
          </w:p>
        </w:tc>
        <w:tc>
          <w:tcPr>
            <w:tcW w:w="902" w:type="dxa"/>
            <w:tcBorders>
              <w:top w:val="single" w:sz="4" w:space="0" w:color="auto"/>
              <w:left w:val="nil"/>
              <w:bottom w:val="single" w:sz="4" w:space="0" w:color="auto"/>
              <w:right w:val="single" w:sz="8" w:space="0" w:color="auto"/>
            </w:tcBorders>
            <w:shd w:val="clear" w:color="auto" w:fill="auto"/>
            <w:noWrap/>
            <w:vAlign w:val="bottom"/>
            <w:hideMark/>
          </w:tcPr>
          <w:p w14:paraId="546A8CA0"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0089783/17</w:t>
            </w:r>
          </w:p>
        </w:tc>
      </w:tr>
      <w:tr w:rsidR="003372A0" w:rsidRPr="00D00CE7" w14:paraId="17353509" w14:textId="77777777" w:rsidTr="00966CB0">
        <w:trPr>
          <w:cantSplit/>
          <w:trHeight w:val="252"/>
          <w:jc w:val="center"/>
        </w:trPr>
        <w:tc>
          <w:tcPr>
            <w:tcW w:w="913" w:type="dxa"/>
            <w:tcBorders>
              <w:top w:val="single" w:sz="4" w:space="0" w:color="auto"/>
              <w:left w:val="single" w:sz="8" w:space="0" w:color="auto"/>
              <w:bottom w:val="nil"/>
              <w:right w:val="single" w:sz="4" w:space="0" w:color="auto"/>
            </w:tcBorders>
            <w:shd w:val="clear" w:color="auto" w:fill="auto"/>
            <w:noWrap/>
            <w:vAlign w:val="bottom"/>
            <w:hideMark/>
          </w:tcPr>
          <w:p w14:paraId="52C8F556"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10/05/2018</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0278B3BF"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122283</w:t>
            </w:r>
          </w:p>
        </w:tc>
        <w:tc>
          <w:tcPr>
            <w:tcW w:w="6541" w:type="dxa"/>
            <w:tcBorders>
              <w:top w:val="single" w:sz="4" w:space="0" w:color="auto"/>
              <w:left w:val="nil"/>
              <w:bottom w:val="single" w:sz="4" w:space="0" w:color="auto"/>
              <w:right w:val="single" w:sz="4" w:space="0" w:color="auto"/>
            </w:tcBorders>
            <w:shd w:val="clear" w:color="auto" w:fill="auto"/>
            <w:noWrap/>
            <w:vAlign w:val="bottom"/>
            <w:hideMark/>
          </w:tcPr>
          <w:p w14:paraId="6B944F25"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1º TABELIÃO DE NOTAS DA COMARCA DE GUARULHOS</w:t>
            </w:r>
          </w:p>
        </w:tc>
        <w:tc>
          <w:tcPr>
            <w:tcW w:w="902" w:type="dxa"/>
            <w:tcBorders>
              <w:top w:val="single" w:sz="4" w:space="0" w:color="auto"/>
              <w:left w:val="nil"/>
              <w:bottom w:val="single" w:sz="4" w:space="0" w:color="auto"/>
              <w:right w:val="single" w:sz="8" w:space="0" w:color="auto"/>
            </w:tcBorders>
            <w:shd w:val="clear" w:color="auto" w:fill="auto"/>
            <w:noWrap/>
            <w:vAlign w:val="bottom"/>
            <w:hideMark/>
          </w:tcPr>
          <w:p w14:paraId="33AD3774" w14:textId="77777777" w:rsidR="003372A0" w:rsidRPr="00D00CE7" w:rsidRDefault="003372A0" w:rsidP="00966CB0">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0037408/18 </w:t>
            </w:r>
          </w:p>
        </w:tc>
      </w:tr>
      <w:tr w:rsidR="003372A0" w:rsidRPr="00D00CE7" w14:paraId="1B7DCDB4" w14:textId="77777777" w:rsidTr="00966CB0">
        <w:trPr>
          <w:cantSplit/>
          <w:trHeight w:val="300"/>
          <w:jc w:val="center"/>
        </w:trPr>
        <w:tc>
          <w:tcPr>
            <w:tcW w:w="913" w:type="dxa"/>
            <w:tcBorders>
              <w:top w:val="single" w:sz="4" w:space="0" w:color="auto"/>
              <w:left w:val="single" w:sz="8" w:space="0" w:color="auto"/>
              <w:bottom w:val="nil"/>
              <w:right w:val="single" w:sz="4" w:space="0" w:color="auto"/>
            </w:tcBorders>
            <w:shd w:val="clear" w:color="auto" w:fill="auto"/>
            <w:noWrap/>
            <w:vAlign w:val="bottom"/>
            <w:hideMark/>
          </w:tcPr>
          <w:p w14:paraId="6F405037"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17/10/2018</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115245CB"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115048</w:t>
            </w:r>
          </w:p>
        </w:tc>
        <w:tc>
          <w:tcPr>
            <w:tcW w:w="6541" w:type="dxa"/>
            <w:tcBorders>
              <w:top w:val="single" w:sz="4" w:space="0" w:color="auto"/>
              <w:left w:val="nil"/>
              <w:bottom w:val="single" w:sz="4" w:space="0" w:color="auto"/>
              <w:right w:val="single" w:sz="4" w:space="0" w:color="auto"/>
            </w:tcBorders>
            <w:shd w:val="clear" w:color="auto" w:fill="auto"/>
            <w:noWrap/>
            <w:vAlign w:val="bottom"/>
            <w:hideMark/>
          </w:tcPr>
          <w:p w14:paraId="1C4C414F"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Oficial de RC das PN  19º Subdistrito - Perdizes</w:t>
            </w:r>
          </w:p>
        </w:tc>
        <w:tc>
          <w:tcPr>
            <w:tcW w:w="902" w:type="dxa"/>
            <w:tcBorders>
              <w:top w:val="single" w:sz="4" w:space="0" w:color="auto"/>
              <w:left w:val="nil"/>
              <w:bottom w:val="single" w:sz="4" w:space="0" w:color="auto"/>
              <w:right w:val="single" w:sz="8" w:space="0" w:color="auto"/>
            </w:tcBorders>
            <w:shd w:val="clear" w:color="auto" w:fill="auto"/>
            <w:noWrap/>
            <w:vAlign w:val="bottom"/>
            <w:hideMark/>
          </w:tcPr>
          <w:p w14:paraId="34722EE5"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0085524/18</w:t>
            </w:r>
          </w:p>
        </w:tc>
      </w:tr>
      <w:tr w:rsidR="003372A0" w:rsidRPr="00D00CE7" w14:paraId="4687BB8D" w14:textId="77777777" w:rsidTr="00966CB0">
        <w:trPr>
          <w:cantSplit/>
          <w:trHeight w:val="300"/>
          <w:jc w:val="center"/>
        </w:trPr>
        <w:tc>
          <w:tcPr>
            <w:tcW w:w="9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4922F2"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22/11/2018</w:t>
            </w:r>
          </w:p>
        </w:tc>
        <w:tc>
          <w:tcPr>
            <w:tcW w:w="627" w:type="dxa"/>
            <w:tcBorders>
              <w:top w:val="nil"/>
              <w:left w:val="nil"/>
              <w:bottom w:val="single" w:sz="4" w:space="0" w:color="auto"/>
              <w:right w:val="single" w:sz="4" w:space="0" w:color="auto"/>
            </w:tcBorders>
            <w:shd w:val="clear" w:color="auto" w:fill="auto"/>
            <w:noWrap/>
            <w:vAlign w:val="bottom"/>
            <w:hideMark/>
          </w:tcPr>
          <w:p w14:paraId="44CE6C5D"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113340</w:t>
            </w:r>
          </w:p>
        </w:tc>
        <w:tc>
          <w:tcPr>
            <w:tcW w:w="6541" w:type="dxa"/>
            <w:tcBorders>
              <w:top w:val="nil"/>
              <w:left w:val="nil"/>
              <w:bottom w:val="single" w:sz="4" w:space="0" w:color="auto"/>
              <w:right w:val="single" w:sz="4" w:space="0" w:color="auto"/>
            </w:tcBorders>
            <w:shd w:val="clear" w:color="auto" w:fill="auto"/>
            <w:noWrap/>
            <w:vAlign w:val="bottom"/>
            <w:hideMark/>
          </w:tcPr>
          <w:p w14:paraId="3E200C71"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3º Tabelião de Notas da Capital</w:t>
            </w:r>
          </w:p>
        </w:tc>
        <w:tc>
          <w:tcPr>
            <w:tcW w:w="902" w:type="dxa"/>
            <w:tcBorders>
              <w:top w:val="nil"/>
              <w:left w:val="nil"/>
              <w:bottom w:val="single" w:sz="4" w:space="0" w:color="auto"/>
              <w:right w:val="single" w:sz="8" w:space="0" w:color="auto"/>
            </w:tcBorders>
            <w:shd w:val="clear" w:color="auto" w:fill="auto"/>
            <w:noWrap/>
            <w:vAlign w:val="bottom"/>
            <w:hideMark/>
          </w:tcPr>
          <w:p w14:paraId="6E8A3107"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0098399/18</w:t>
            </w:r>
          </w:p>
        </w:tc>
      </w:tr>
      <w:tr w:rsidR="003372A0" w:rsidRPr="00D00CE7" w14:paraId="72DF7B88" w14:textId="77777777" w:rsidTr="00966CB0">
        <w:trPr>
          <w:cantSplit/>
          <w:trHeight w:val="300"/>
          <w:jc w:val="center"/>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6032DA2D"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30/11/2018</w:t>
            </w:r>
          </w:p>
        </w:tc>
        <w:tc>
          <w:tcPr>
            <w:tcW w:w="627" w:type="dxa"/>
            <w:tcBorders>
              <w:top w:val="nil"/>
              <w:left w:val="nil"/>
              <w:bottom w:val="nil"/>
              <w:right w:val="nil"/>
            </w:tcBorders>
            <w:shd w:val="clear" w:color="auto" w:fill="auto"/>
            <w:noWrap/>
            <w:vAlign w:val="bottom"/>
            <w:hideMark/>
          </w:tcPr>
          <w:p w14:paraId="19E8D4E7"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122739</w:t>
            </w:r>
          </w:p>
        </w:tc>
        <w:tc>
          <w:tcPr>
            <w:tcW w:w="6541" w:type="dxa"/>
            <w:tcBorders>
              <w:top w:val="nil"/>
              <w:left w:val="single" w:sz="4" w:space="0" w:color="auto"/>
              <w:bottom w:val="single" w:sz="4" w:space="0" w:color="auto"/>
              <w:right w:val="single" w:sz="4" w:space="0" w:color="auto"/>
            </w:tcBorders>
            <w:shd w:val="clear" w:color="auto" w:fill="auto"/>
            <w:noWrap/>
            <w:vAlign w:val="bottom"/>
            <w:hideMark/>
          </w:tcPr>
          <w:p w14:paraId="143C729E"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Oficial de RC das PN  25º Subdistrito - Pari</w:t>
            </w:r>
          </w:p>
        </w:tc>
        <w:tc>
          <w:tcPr>
            <w:tcW w:w="902" w:type="dxa"/>
            <w:tcBorders>
              <w:top w:val="nil"/>
              <w:left w:val="nil"/>
              <w:bottom w:val="single" w:sz="4" w:space="0" w:color="auto"/>
              <w:right w:val="single" w:sz="8" w:space="0" w:color="auto"/>
            </w:tcBorders>
            <w:shd w:val="clear" w:color="auto" w:fill="auto"/>
            <w:noWrap/>
            <w:vAlign w:val="bottom"/>
            <w:hideMark/>
          </w:tcPr>
          <w:p w14:paraId="6E05E2EC"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 xml:space="preserve">0104588/18 </w:t>
            </w:r>
          </w:p>
        </w:tc>
      </w:tr>
      <w:tr w:rsidR="003372A0" w:rsidRPr="00D00CE7" w14:paraId="67FE6991" w14:textId="77777777" w:rsidTr="00966CB0">
        <w:trPr>
          <w:cantSplit/>
          <w:trHeight w:val="300"/>
          <w:jc w:val="center"/>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0292FDBB"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04/12/2018</w:t>
            </w: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14:paraId="5C1CA302"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111336</w:t>
            </w:r>
          </w:p>
        </w:tc>
        <w:tc>
          <w:tcPr>
            <w:tcW w:w="6541" w:type="dxa"/>
            <w:tcBorders>
              <w:top w:val="nil"/>
              <w:left w:val="nil"/>
              <w:bottom w:val="single" w:sz="4" w:space="0" w:color="auto"/>
              <w:right w:val="single" w:sz="4" w:space="0" w:color="auto"/>
            </w:tcBorders>
            <w:shd w:val="clear" w:color="auto" w:fill="auto"/>
            <w:noWrap/>
            <w:vAlign w:val="bottom"/>
            <w:hideMark/>
          </w:tcPr>
          <w:p w14:paraId="51A666C9"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18º Tabelião de Notas da Comarca da Capital</w:t>
            </w:r>
          </w:p>
        </w:tc>
        <w:tc>
          <w:tcPr>
            <w:tcW w:w="902" w:type="dxa"/>
            <w:tcBorders>
              <w:top w:val="nil"/>
              <w:left w:val="nil"/>
              <w:bottom w:val="single" w:sz="4" w:space="0" w:color="auto"/>
              <w:right w:val="single" w:sz="8" w:space="0" w:color="auto"/>
            </w:tcBorders>
            <w:shd w:val="clear" w:color="auto" w:fill="auto"/>
            <w:noWrap/>
            <w:vAlign w:val="bottom"/>
            <w:hideMark/>
          </w:tcPr>
          <w:p w14:paraId="77C1FC71"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0102835/18</w:t>
            </w:r>
          </w:p>
        </w:tc>
      </w:tr>
      <w:tr w:rsidR="003372A0" w:rsidRPr="00D00CE7" w14:paraId="1603D581" w14:textId="77777777" w:rsidTr="00966CB0">
        <w:trPr>
          <w:cantSplit/>
          <w:trHeight w:val="300"/>
          <w:jc w:val="center"/>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2624DCE2"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05/12/2018</w:t>
            </w:r>
          </w:p>
        </w:tc>
        <w:tc>
          <w:tcPr>
            <w:tcW w:w="627" w:type="dxa"/>
            <w:tcBorders>
              <w:top w:val="nil"/>
              <w:left w:val="nil"/>
              <w:bottom w:val="single" w:sz="4" w:space="0" w:color="auto"/>
              <w:right w:val="single" w:sz="4" w:space="0" w:color="auto"/>
            </w:tcBorders>
            <w:shd w:val="clear" w:color="auto" w:fill="auto"/>
            <w:noWrap/>
            <w:vAlign w:val="bottom"/>
            <w:hideMark/>
          </w:tcPr>
          <w:p w14:paraId="6F3A9195"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125260</w:t>
            </w:r>
          </w:p>
        </w:tc>
        <w:tc>
          <w:tcPr>
            <w:tcW w:w="6541" w:type="dxa"/>
            <w:tcBorders>
              <w:top w:val="nil"/>
              <w:left w:val="nil"/>
              <w:bottom w:val="single" w:sz="4" w:space="0" w:color="auto"/>
              <w:right w:val="single" w:sz="4" w:space="0" w:color="auto"/>
            </w:tcBorders>
            <w:shd w:val="clear" w:color="auto" w:fill="auto"/>
            <w:noWrap/>
            <w:vAlign w:val="bottom"/>
            <w:hideMark/>
          </w:tcPr>
          <w:p w14:paraId="34EFE5E9"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TABELIÃO DE NOTAS E DE PROTESTO DE LETRAS E TÍTULOS DA COMARCA DE SANTA CRUZ DO RIO PARDO</w:t>
            </w:r>
          </w:p>
        </w:tc>
        <w:tc>
          <w:tcPr>
            <w:tcW w:w="902" w:type="dxa"/>
            <w:tcBorders>
              <w:top w:val="nil"/>
              <w:left w:val="nil"/>
              <w:bottom w:val="single" w:sz="4" w:space="0" w:color="auto"/>
              <w:right w:val="single" w:sz="8" w:space="0" w:color="auto"/>
            </w:tcBorders>
            <w:shd w:val="clear" w:color="auto" w:fill="auto"/>
            <w:noWrap/>
            <w:vAlign w:val="bottom"/>
            <w:hideMark/>
          </w:tcPr>
          <w:p w14:paraId="7253DAF5"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 xml:space="preserve">0098835/18  </w:t>
            </w:r>
          </w:p>
        </w:tc>
      </w:tr>
      <w:tr w:rsidR="003372A0" w:rsidRPr="00D00CE7" w14:paraId="34350AAE" w14:textId="77777777" w:rsidTr="00966CB0">
        <w:trPr>
          <w:cantSplit/>
          <w:trHeight w:val="300"/>
          <w:jc w:val="center"/>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2C2269F1"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10/12/2018</w:t>
            </w:r>
          </w:p>
        </w:tc>
        <w:tc>
          <w:tcPr>
            <w:tcW w:w="627" w:type="dxa"/>
            <w:tcBorders>
              <w:top w:val="nil"/>
              <w:left w:val="nil"/>
              <w:bottom w:val="single" w:sz="4" w:space="0" w:color="auto"/>
              <w:right w:val="single" w:sz="4" w:space="0" w:color="auto"/>
            </w:tcBorders>
            <w:shd w:val="clear" w:color="auto" w:fill="auto"/>
            <w:noWrap/>
            <w:vAlign w:val="bottom"/>
            <w:hideMark/>
          </w:tcPr>
          <w:p w14:paraId="3F46FF3E"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114512</w:t>
            </w:r>
          </w:p>
        </w:tc>
        <w:tc>
          <w:tcPr>
            <w:tcW w:w="6541" w:type="dxa"/>
            <w:tcBorders>
              <w:top w:val="nil"/>
              <w:left w:val="nil"/>
              <w:bottom w:val="single" w:sz="4" w:space="0" w:color="auto"/>
              <w:right w:val="single" w:sz="4" w:space="0" w:color="auto"/>
            </w:tcBorders>
            <w:shd w:val="clear" w:color="auto" w:fill="auto"/>
            <w:noWrap/>
            <w:vAlign w:val="bottom"/>
            <w:hideMark/>
          </w:tcPr>
          <w:p w14:paraId="21BACC4F"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8º TABELIÃO DE NOTAS DA COMARCA DA CAPITAL</w:t>
            </w:r>
          </w:p>
        </w:tc>
        <w:tc>
          <w:tcPr>
            <w:tcW w:w="902" w:type="dxa"/>
            <w:tcBorders>
              <w:top w:val="nil"/>
              <w:left w:val="nil"/>
              <w:bottom w:val="single" w:sz="4" w:space="0" w:color="auto"/>
              <w:right w:val="single" w:sz="8" w:space="0" w:color="auto"/>
            </w:tcBorders>
            <w:shd w:val="clear" w:color="auto" w:fill="auto"/>
            <w:noWrap/>
            <w:vAlign w:val="bottom"/>
            <w:hideMark/>
          </w:tcPr>
          <w:p w14:paraId="163CC3ED"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 xml:space="preserve">0102835/18 </w:t>
            </w:r>
          </w:p>
        </w:tc>
      </w:tr>
      <w:tr w:rsidR="003372A0" w:rsidRPr="00D00CE7" w14:paraId="1D9939DA" w14:textId="77777777" w:rsidTr="00966CB0">
        <w:trPr>
          <w:cantSplit/>
          <w:trHeight w:val="300"/>
          <w:jc w:val="center"/>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71E775CC"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11/12/2018</w:t>
            </w:r>
          </w:p>
        </w:tc>
        <w:tc>
          <w:tcPr>
            <w:tcW w:w="627" w:type="dxa"/>
            <w:tcBorders>
              <w:top w:val="nil"/>
              <w:left w:val="nil"/>
              <w:bottom w:val="single" w:sz="4" w:space="0" w:color="auto"/>
              <w:right w:val="single" w:sz="4" w:space="0" w:color="auto"/>
            </w:tcBorders>
            <w:shd w:val="clear" w:color="auto" w:fill="auto"/>
            <w:noWrap/>
            <w:vAlign w:val="bottom"/>
            <w:hideMark/>
          </w:tcPr>
          <w:p w14:paraId="579F02FA"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111484</w:t>
            </w:r>
          </w:p>
        </w:tc>
        <w:tc>
          <w:tcPr>
            <w:tcW w:w="6541" w:type="dxa"/>
            <w:tcBorders>
              <w:top w:val="nil"/>
              <w:left w:val="nil"/>
              <w:bottom w:val="single" w:sz="4" w:space="0" w:color="auto"/>
              <w:right w:val="single" w:sz="4" w:space="0" w:color="auto"/>
            </w:tcBorders>
            <w:shd w:val="clear" w:color="auto" w:fill="auto"/>
            <w:noWrap/>
            <w:vAlign w:val="bottom"/>
            <w:hideMark/>
          </w:tcPr>
          <w:p w14:paraId="0A421202"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1º OFICIAL DE REGISTRO DE IMÓVEIS, TÍTULOS E DOCUMENTOS E CIVIL DE PESSOA JURÍDICA DA COMARCA DE GUARULHOS</w:t>
            </w:r>
          </w:p>
        </w:tc>
        <w:tc>
          <w:tcPr>
            <w:tcW w:w="902" w:type="dxa"/>
            <w:tcBorders>
              <w:top w:val="nil"/>
              <w:left w:val="nil"/>
              <w:bottom w:val="single" w:sz="4" w:space="0" w:color="auto"/>
              <w:right w:val="single" w:sz="8" w:space="0" w:color="auto"/>
            </w:tcBorders>
            <w:shd w:val="clear" w:color="auto" w:fill="auto"/>
            <w:noWrap/>
            <w:vAlign w:val="bottom"/>
            <w:hideMark/>
          </w:tcPr>
          <w:p w14:paraId="23B97A65"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 xml:space="preserve">0103800/18 </w:t>
            </w:r>
          </w:p>
        </w:tc>
      </w:tr>
      <w:tr w:rsidR="003372A0" w:rsidRPr="00D00CE7" w14:paraId="342566BC" w14:textId="77777777" w:rsidTr="00966CB0">
        <w:trPr>
          <w:cantSplit/>
          <w:trHeight w:val="300"/>
          <w:jc w:val="center"/>
        </w:trPr>
        <w:tc>
          <w:tcPr>
            <w:tcW w:w="913" w:type="dxa"/>
            <w:tcBorders>
              <w:top w:val="nil"/>
              <w:left w:val="single" w:sz="8" w:space="0" w:color="auto"/>
              <w:bottom w:val="single" w:sz="4" w:space="0" w:color="auto"/>
              <w:right w:val="single" w:sz="4" w:space="0" w:color="auto"/>
            </w:tcBorders>
            <w:shd w:val="clear" w:color="auto" w:fill="auto"/>
            <w:noWrap/>
            <w:vAlign w:val="bottom"/>
            <w:hideMark/>
          </w:tcPr>
          <w:p w14:paraId="1A4D2CC6"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11/12/2018</w:t>
            </w:r>
          </w:p>
        </w:tc>
        <w:tc>
          <w:tcPr>
            <w:tcW w:w="627" w:type="dxa"/>
            <w:tcBorders>
              <w:top w:val="nil"/>
              <w:left w:val="nil"/>
              <w:bottom w:val="single" w:sz="4" w:space="0" w:color="auto"/>
              <w:right w:val="single" w:sz="4" w:space="0" w:color="auto"/>
            </w:tcBorders>
            <w:shd w:val="clear" w:color="auto" w:fill="auto"/>
            <w:noWrap/>
            <w:vAlign w:val="bottom"/>
            <w:hideMark/>
          </w:tcPr>
          <w:p w14:paraId="1DBB73D6"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112540</w:t>
            </w:r>
          </w:p>
        </w:tc>
        <w:tc>
          <w:tcPr>
            <w:tcW w:w="6541" w:type="dxa"/>
            <w:tcBorders>
              <w:top w:val="nil"/>
              <w:left w:val="nil"/>
              <w:bottom w:val="single" w:sz="4" w:space="0" w:color="auto"/>
              <w:right w:val="single" w:sz="4" w:space="0" w:color="auto"/>
            </w:tcBorders>
            <w:shd w:val="clear" w:color="auto" w:fill="auto"/>
            <w:noWrap/>
            <w:vAlign w:val="bottom"/>
            <w:hideMark/>
          </w:tcPr>
          <w:p w14:paraId="3B578C4B"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2º OFICIAL DE REGISTRO DE IMÓVEIS, TÍTULOS E DOCUMENTOS E CIVIL DE PESSOA JURÍDICA DA COMARCA DE GUARULHOS</w:t>
            </w:r>
          </w:p>
        </w:tc>
        <w:tc>
          <w:tcPr>
            <w:tcW w:w="902" w:type="dxa"/>
            <w:tcBorders>
              <w:top w:val="nil"/>
              <w:left w:val="nil"/>
              <w:bottom w:val="single" w:sz="4" w:space="0" w:color="auto"/>
              <w:right w:val="single" w:sz="8" w:space="0" w:color="auto"/>
            </w:tcBorders>
            <w:shd w:val="clear" w:color="auto" w:fill="auto"/>
            <w:noWrap/>
            <w:vAlign w:val="bottom"/>
            <w:hideMark/>
          </w:tcPr>
          <w:p w14:paraId="28ADF1E3"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 xml:space="preserve">0103793/18 </w:t>
            </w:r>
          </w:p>
        </w:tc>
      </w:tr>
      <w:tr w:rsidR="003372A0" w:rsidRPr="00D00CE7" w14:paraId="1B73A2ED" w14:textId="77777777" w:rsidTr="00966CB0">
        <w:trPr>
          <w:cantSplit/>
          <w:trHeight w:val="300"/>
          <w:jc w:val="center"/>
        </w:trPr>
        <w:tc>
          <w:tcPr>
            <w:tcW w:w="913" w:type="dxa"/>
            <w:tcBorders>
              <w:top w:val="nil"/>
              <w:left w:val="single" w:sz="8" w:space="0" w:color="auto"/>
              <w:bottom w:val="nil"/>
              <w:right w:val="nil"/>
            </w:tcBorders>
            <w:shd w:val="clear" w:color="auto" w:fill="auto"/>
            <w:noWrap/>
            <w:vAlign w:val="bottom"/>
            <w:hideMark/>
          </w:tcPr>
          <w:p w14:paraId="19E308E6"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11/12/2018</w:t>
            </w:r>
          </w:p>
        </w:tc>
        <w:tc>
          <w:tcPr>
            <w:tcW w:w="627" w:type="dxa"/>
            <w:tcBorders>
              <w:top w:val="nil"/>
              <w:left w:val="single" w:sz="4" w:space="0" w:color="auto"/>
              <w:bottom w:val="single" w:sz="4" w:space="0" w:color="auto"/>
              <w:right w:val="single" w:sz="4" w:space="0" w:color="auto"/>
            </w:tcBorders>
            <w:shd w:val="clear" w:color="auto" w:fill="auto"/>
            <w:noWrap/>
            <w:vAlign w:val="bottom"/>
            <w:hideMark/>
          </w:tcPr>
          <w:p w14:paraId="35D927C9"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112722</w:t>
            </w:r>
          </w:p>
        </w:tc>
        <w:tc>
          <w:tcPr>
            <w:tcW w:w="6541" w:type="dxa"/>
            <w:tcBorders>
              <w:top w:val="nil"/>
              <w:left w:val="nil"/>
              <w:bottom w:val="single" w:sz="4" w:space="0" w:color="auto"/>
              <w:right w:val="single" w:sz="4" w:space="0" w:color="auto"/>
            </w:tcBorders>
            <w:shd w:val="clear" w:color="auto" w:fill="auto"/>
            <w:noWrap/>
            <w:vAlign w:val="bottom"/>
            <w:hideMark/>
          </w:tcPr>
          <w:p w14:paraId="66D827C1"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2º TABELIÃO DE NOTAS DA COMARCA DA CAPITAL</w:t>
            </w:r>
          </w:p>
        </w:tc>
        <w:tc>
          <w:tcPr>
            <w:tcW w:w="902" w:type="dxa"/>
            <w:tcBorders>
              <w:top w:val="nil"/>
              <w:left w:val="nil"/>
              <w:bottom w:val="single" w:sz="4" w:space="0" w:color="auto"/>
              <w:right w:val="single" w:sz="8" w:space="0" w:color="auto"/>
            </w:tcBorders>
            <w:shd w:val="clear" w:color="auto" w:fill="auto"/>
            <w:noWrap/>
            <w:vAlign w:val="bottom"/>
            <w:hideMark/>
          </w:tcPr>
          <w:p w14:paraId="0D79F9DF"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0105433/18</w:t>
            </w:r>
          </w:p>
        </w:tc>
      </w:tr>
      <w:tr w:rsidR="003372A0" w:rsidRPr="00D00CE7" w14:paraId="65F0E232" w14:textId="77777777" w:rsidTr="00966CB0">
        <w:trPr>
          <w:cantSplit/>
          <w:trHeight w:val="300"/>
          <w:jc w:val="center"/>
        </w:trPr>
        <w:tc>
          <w:tcPr>
            <w:tcW w:w="91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E3E1971" w14:textId="77777777" w:rsidR="003372A0" w:rsidRPr="00D00CE7" w:rsidRDefault="003372A0" w:rsidP="00966CB0">
            <w:pPr>
              <w:spacing w:after="0" w:line="240" w:lineRule="auto"/>
              <w:jc w:val="right"/>
              <w:rPr>
                <w:rFonts w:ascii="Calibri" w:eastAsia="Times New Roman" w:hAnsi="Calibri" w:cs="Calibri"/>
                <w:color w:val="000000"/>
                <w:sz w:val="16"/>
                <w:szCs w:val="16"/>
              </w:rPr>
            </w:pPr>
            <w:r w:rsidRPr="00D00CE7">
              <w:rPr>
                <w:rFonts w:ascii="Calibri" w:eastAsia="Times New Roman" w:hAnsi="Calibri" w:cs="Calibri"/>
                <w:color w:val="000000"/>
                <w:sz w:val="16"/>
                <w:szCs w:val="16"/>
              </w:rPr>
              <w:t>08/01/2019</w:t>
            </w:r>
          </w:p>
        </w:tc>
        <w:tc>
          <w:tcPr>
            <w:tcW w:w="627" w:type="dxa"/>
            <w:tcBorders>
              <w:top w:val="nil"/>
              <w:left w:val="nil"/>
              <w:bottom w:val="single" w:sz="4" w:space="0" w:color="auto"/>
              <w:right w:val="single" w:sz="4" w:space="0" w:color="auto"/>
            </w:tcBorders>
            <w:shd w:val="clear" w:color="auto" w:fill="auto"/>
            <w:noWrap/>
            <w:vAlign w:val="bottom"/>
            <w:hideMark/>
          </w:tcPr>
          <w:p w14:paraId="6F62D87E"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113316</w:t>
            </w:r>
          </w:p>
        </w:tc>
        <w:tc>
          <w:tcPr>
            <w:tcW w:w="6541" w:type="dxa"/>
            <w:tcBorders>
              <w:top w:val="nil"/>
              <w:left w:val="nil"/>
              <w:bottom w:val="single" w:sz="4" w:space="0" w:color="auto"/>
              <w:right w:val="single" w:sz="4" w:space="0" w:color="auto"/>
            </w:tcBorders>
            <w:shd w:val="clear" w:color="auto" w:fill="auto"/>
            <w:noWrap/>
            <w:vAlign w:val="bottom"/>
            <w:hideMark/>
          </w:tcPr>
          <w:p w14:paraId="3E184ED0"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3º TABELIÃO DE NOTAS DA COMARCA DE GUARULHOS</w:t>
            </w:r>
          </w:p>
        </w:tc>
        <w:tc>
          <w:tcPr>
            <w:tcW w:w="902" w:type="dxa"/>
            <w:tcBorders>
              <w:top w:val="nil"/>
              <w:left w:val="nil"/>
              <w:bottom w:val="single" w:sz="4" w:space="0" w:color="auto"/>
              <w:right w:val="single" w:sz="8" w:space="0" w:color="auto"/>
            </w:tcBorders>
            <w:shd w:val="clear" w:color="auto" w:fill="auto"/>
            <w:noWrap/>
            <w:vAlign w:val="bottom"/>
            <w:hideMark/>
          </w:tcPr>
          <w:p w14:paraId="459450E9"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0105570/18</w:t>
            </w:r>
          </w:p>
        </w:tc>
      </w:tr>
      <w:tr w:rsidR="003372A0" w:rsidRPr="00D00CE7" w14:paraId="42C06F8D" w14:textId="77777777" w:rsidTr="00966CB0">
        <w:trPr>
          <w:cantSplit/>
          <w:trHeight w:val="315"/>
          <w:jc w:val="center"/>
        </w:trPr>
        <w:tc>
          <w:tcPr>
            <w:tcW w:w="913" w:type="dxa"/>
            <w:tcBorders>
              <w:top w:val="nil"/>
              <w:left w:val="single" w:sz="8" w:space="0" w:color="auto"/>
              <w:bottom w:val="single" w:sz="8" w:space="0" w:color="auto"/>
              <w:right w:val="single" w:sz="4" w:space="0" w:color="auto"/>
            </w:tcBorders>
            <w:shd w:val="clear" w:color="auto" w:fill="auto"/>
            <w:noWrap/>
            <w:vAlign w:val="bottom"/>
            <w:hideMark/>
          </w:tcPr>
          <w:p w14:paraId="6522730D"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24/01/2019</w:t>
            </w:r>
          </w:p>
        </w:tc>
        <w:tc>
          <w:tcPr>
            <w:tcW w:w="627" w:type="dxa"/>
            <w:tcBorders>
              <w:top w:val="nil"/>
              <w:left w:val="nil"/>
              <w:bottom w:val="single" w:sz="8" w:space="0" w:color="auto"/>
              <w:right w:val="single" w:sz="4" w:space="0" w:color="auto"/>
            </w:tcBorders>
            <w:shd w:val="clear" w:color="auto" w:fill="auto"/>
            <w:noWrap/>
            <w:vAlign w:val="bottom"/>
            <w:hideMark/>
          </w:tcPr>
          <w:p w14:paraId="75A4A039" w14:textId="77777777" w:rsidR="003372A0" w:rsidRPr="00D00CE7" w:rsidRDefault="003372A0" w:rsidP="00966CB0">
            <w:pPr>
              <w:spacing w:after="0" w:line="240" w:lineRule="auto"/>
              <w:jc w:val="center"/>
              <w:rPr>
                <w:rFonts w:ascii="Calibri" w:eastAsia="Times New Roman" w:hAnsi="Calibri" w:cs="Calibri"/>
                <w:color w:val="000000"/>
                <w:sz w:val="16"/>
                <w:szCs w:val="16"/>
              </w:rPr>
            </w:pPr>
            <w:r w:rsidRPr="00D00CE7">
              <w:rPr>
                <w:rFonts w:ascii="Calibri" w:eastAsia="Times New Roman" w:hAnsi="Calibri" w:cs="Calibri"/>
                <w:color w:val="000000"/>
                <w:sz w:val="16"/>
                <w:szCs w:val="16"/>
              </w:rPr>
              <w:t>120972</w:t>
            </w:r>
          </w:p>
        </w:tc>
        <w:tc>
          <w:tcPr>
            <w:tcW w:w="6541" w:type="dxa"/>
            <w:tcBorders>
              <w:top w:val="nil"/>
              <w:left w:val="nil"/>
              <w:bottom w:val="single" w:sz="8" w:space="0" w:color="auto"/>
              <w:right w:val="single" w:sz="4" w:space="0" w:color="auto"/>
            </w:tcBorders>
            <w:shd w:val="clear" w:color="auto" w:fill="auto"/>
            <w:noWrap/>
            <w:vAlign w:val="bottom"/>
            <w:hideMark/>
          </w:tcPr>
          <w:p w14:paraId="47A39721"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OFICIAL DE REGISTRO DE IMÓVEIS, TÍTULOS E DOCUMENTOS E CIVIL DE PESSOA JURÍDICA DA COMARCA DE JALES</w:t>
            </w:r>
          </w:p>
        </w:tc>
        <w:tc>
          <w:tcPr>
            <w:tcW w:w="902" w:type="dxa"/>
            <w:tcBorders>
              <w:top w:val="nil"/>
              <w:left w:val="nil"/>
              <w:bottom w:val="single" w:sz="8" w:space="0" w:color="auto"/>
              <w:right w:val="single" w:sz="8" w:space="0" w:color="auto"/>
            </w:tcBorders>
            <w:shd w:val="clear" w:color="auto" w:fill="auto"/>
            <w:noWrap/>
            <w:vAlign w:val="bottom"/>
            <w:hideMark/>
          </w:tcPr>
          <w:p w14:paraId="69E9A088" w14:textId="77777777" w:rsidR="003372A0" w:rsidRPr="00D00CE7" w:rsidRDefault="003372A0" w:rsidP="00966CB0">
            <w:pPr>
              <w:spacing w:after="0" w:line="240" w:lineRule="auto"/>
              <w:rPr>
                <w:rFonts w:ascii="Calibri" w:eastAsia="Times New Roman" w:hAnsi="Calibri" w:cs="Calibri"/>
                <w:color w:val="000000"/>
                <w:sz w:val="16"/>
                <w:szCs w:val="16"/>
              </w:rPr>
            </w:pPr>
            <w:r w:rsidRPr="00D00CE7">
              <w:rPr>
                <w:rFonts w:ascii="Calibri" w:eastAsia="Times New Roman" w:hAnsi="Calibri" w:cs="Calibri"/>
                <w:color w:val="000000"/>
                <w:sz w:val="16"/>
                <w:szCs w:val="16"/>
              </w:rPr>
              <w:t>0005904/19</w:t>
            </w:r>
          </w:p>
        </w:tc>
      </w:tr>
    </w:tbl>
    <w:p w14:paraId="6B844E82" w14:textId="77777777" w:rsidR="003372A0" w:rsidRDefault="003372A0" w:rsidP="003372A0">
      <w:pPr>
        <w:spacing w:line="360" w:lineRule="auto"/>
        <w:ind w:firstLine="1418"/>
        <w:jc w:val="both"/>
        <w:rPr>
          <w:rFonts w:ascii="Century Gothic" w:hAnsi="Century Gothic"/>
        </w:rPr>
      </w:pPr>
    </w:p>
    <w:p w14:paraId="4DC4CCB5" w14:textId="77777777" w:rsidR="003372A0" w:rsidRDefault="003372A0" w:rsidP="003372A0">
      <w:pPr>
        <w:spacing w:line="360" w:lineRule="auto"/>
        <w:ind w:firstLine="1418"/>
        <w:jc w:val="both"/>
        <w:rPr>
          <w:rFonts w:ascii="Century Gothic" w:hAnsi="Century Gothic"/>
        </w:rPr>
      </w:pPr>
    </w:p>
    <w:p w14:paraId="11EE22C9" w14:textId="77777777" w:rsidR="003372A0" w:rsidRDefault="003372A0" w:rsidP="003372A0">
      <w:pPr>
        <w:spacing w:line="360" w:lineRule="auto"/>
        <w:ind w:firstLine="1418"/>
        <w:jc w:val="both"/>
        <w:rPr>
          <w:rFonts w:ascii="Century Gothic" w:hAnsi="Century Gothic"/>
        </w:rPr>
      </w:pPr>
      <w:r>
        <w:rPr>
          <w:rFonts w:ascii="Century Gothic" w:hAnsi="Century Gothic"/>
        </w:rPr>
        <w:t>Foram realizados diversos estudos, quanto ao perído de conciliação. Com a experiência adquirida, chegou-se a conclusão que o período anterior ao boleto é o mais crítico e o posterior a emissão do primeiro boleto tem melhores condições para conciliar. Houve consenso que o mais viável é conciliar o período todo até o período anterior a conclusão da conciliação, haja vista que pode ocorrer de deixarmos de cobrar um responsável e quando formos conciliar ele não estar mais na serventia, tornando o processo de cobrança oneroso (temos conciliações iniciadas em 2016 e que ainda não foram concluídas para envio à dívida ativa).</w:t>
      </w:r>
    </w:p>
    <w:p w14:paraId="77B92320" w14:textId="77777777" w:rsidR="003372A0" w:rsidRDefault="003372A0" w:rsidP="003372A0">
      <w:pPr>
        <w:spacing w:line="360" w:lineRule="auto"/>
        <w:ind w:firstLine="1418"/>
        <w:jc w:val="both"/>
        <w:rPr>
          <w:rFonts w:ascii="Century Gothic" w:hAnsi="Century Gothic"/>
        </w:rPr>
      </w:pPr>
    </w:p>
    <w:p w14:paraId="148585FA" w14:textId="77777777" w:rsidR="003372A0" w:rsidRDefault="003372A0" w:rsidP="003372A0">
      <w:pPr>
        <w:spacing w:line="360" w:lineRule="auto"/>
        <w:ind w:firstLine="1418"/>
        <w:jc w:val="both"/>
        <w:rPr>
          <w:rFonts w:ascii="Century Gothic" w:hAnsi="Century Gothic"/>
        </w:rPr>
      </w:pPr>
    </w:p>
    <w:p w14:paraId="61718B54" w14:textId="77777777" w:rsidR="003372A0" w:rsidRDefault="003372A0" w:rsidP="003372A0">
      <w:pPr>
        <w:spacing w:line="360" w:lineRule="auto"/>
        <w:ind w:firstLine="1418"/>
        <w:jc w:val="both"/>
        <w:rPr>
          <w:rFonts w:ascii="Century Gothic" w:hAnsi="Century Gothic"/>
        </w:rPr>
      </w:pPr>
    </w:p>
    <w:p w14:paraId="5BFB089B" w14:textId="77777777" w:rsidR="003372A0" w:rsidRDefault="003372A0" w:rsidP="003372A0">
      <w:pPr>
        <w:spacing w:line="360" w:lineRule="auto"/>
        <w:ind w:firstLine="1418"/>
        <w:jc w:val="both"/>
        <w:rPr>
          <w:rFonts w:ascii="Century Gothic" w:hAnsi="Century Gothic"/>
        </w:rPr>
      </w:pPr>
      <w:r w:rsidRPr="00EF7812">
        <w:rPr>
          <w:rFonts w:ascii="Century Gothic" w:hAnsi="Century Gothic"/>
        </w:rPr>
        <w:t xml:space="preserve">Da conciliação apurada </w:t>
      </w:r>
      <w:r>
        <w:rPr>
          <w:rFonts w:ascii="Century Gothic" w:hAnsi="Century Gothic"/>
        </w:rPr>
        <w:t xml:space="preserve">até o momento </w:t>
      </w:r>
      <w:r w:rsidRPr="00EF7812">
        <w:rPr>
          <w:rFonts w:ascii="Century Gothic" w:hAnsi="Century Gothic"/>
        </w:rPr>
        <w:t xml:space="preserve">restou que 7 serventias não acolheram a cobrança realizada. Conforme previsto no Ato Normativo 1.103/2018 PGJ. </w:t>
      </w:r>
    </w:p>
    <w:p w14:paraId="4885FC26" w14:textId="77777777" w:rsidR="003372A0" w:rsidRPr="00EF7812" w:rsidRDefault="003372A0" w:rsidP="003372A0">
      <w:pPr>
        <w:spacing w:line="360" w:lineRule="auto"/>
        <w:ind w:firstLine="1418"/>
        <w:jc w:val="both"/>
        <w:rPr>
          <w:rFonts w:ascii="Century Gothic" w:hAnsi="Century Gothic"/>
        </w:rPr>
      </w:pPr>
      <w:r w:rsidRPr="00EF7812">
        <w:rPr>
          <w:rFonts w:ascii="Century Gothic" w:hAnsi="Century Gothic"/>
        </w:rPr>
        <w:t>Destas, uma foi inscrita em Dívida Ativa e seis estão em processo de inclusão.</w:t>
      </w:r>
    </w:p>
    <w:tbl>
      <w:tblPr>
        <w:tblW w:w="5811" w:type="dxa"/>
        <w:jc w:val="center"/>
        <w:tblCellMar>
          <w:left w:w="70" w:type="dxa"/>
          <w:right w:w="70" w:type="dxa"/>
        </w:tblCellMar>
        <w:tblLook w:val="04A0" w:firstRow="1" w:lastRow="0" w:firstColumn="1" w:lastColumn="0" w:noHBand="0" w:noVBand="1"/>
      </w:tblPr>
      <w:tblGrid>
        <w:gridCol w:w="1388"/>
        <w:gridCol w:w="2306"/>
        <w:gridCol w:w="2117"/>
      </w:tblGrid>
      <w:tr w:rsidR="003372A0" w:rsidRPr="00EF7812" w14:paraId="65EA73B8" w14:textId="77777777" w:rsidTr="00966CB0">
        <w:trPr>
          <w:trHeight w:val="197"/>
          <w:jc w:val="center"/>
        </w:trPr>
        <w:tc>
          <w:tcPr>
            <w:tcW w:w="1388" w:type="dxa"/>
            <w:tcBorders>
              <w:top w:val="single" w:sz="8" w:space="0" w:color="auto"/>
              <w:left w:val="single" w:sz="8" w:space="0" w:color="auto"/>
              <w:bottom w:val="single" w:sz="8" w:space="0" w:color="auto"/>
              <w:right w:val="single" w:sz="4" w:space="0" w:color="auto"/>
            </w:tcBorders>
            <w:shd w:val="clear" w:color="auto" w:fill="D6E3BC" w:themeFill="accent3" w:themeFillTint="66"/>
            <w:noWrap/>
            <w:vAlign w:val="bottom"/>
            <w:hideMark/>
          </w:tcPr>
          <w:p w14:paraId="57270F7A"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CNS</w:t>
            </w:r>
          </w:p>
        </w:tc>
        <w:tc>
          <w:tcPr>
            <w:tcW w:w="2306" w:type="dxa"/>
            <w:tcBorders>
              <w:top w:val="single" w:sz="8" w:space="0" w:color="auto"/>
              <w:left w:val="nil"/>
              <w:bottom w:val="single" w:sz="8" w:space="0" w:color="auto"/>
              <w:right w:val="single" w:sz="4" w:space="0" w:color="auto"/>
            </w:tcBorders>
            <w:shd w:val="clear" w:color="auto" w:fill="D6E3BC" w:themeFill="accent3" w:themeFillTint="66"/>
            <w:noWrap/>
            <w:vAlign w:val="bottom"/>
            <w:hideMark/>
          </w:tcPr>
          <w:p w14:paraId="108994B7"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Valor à Inscrever</w:t>
            </w:r>
          </w:p>
        </w:tc>
        <w:tc>
          <w:tcPr>
            <w:tcW w:w="2117" w:type="dxa"/>
            <w:tcBorders>
              <w:top w:val="single" w:sz="8" w:space="0" w:color="auto"/>
              <w:left w:val="nil"/>
              <w:bottom w:val="single" w:sz="8" w:space="0" w:color="auto"/>
              <w:right w:val="single" w:sz="8" w:space="0" w:color="auto"/>
            </w:tcBorders>
            <w:shd w:val="clear" w:color="auto" w:fill="D6E3BC" w:themeFill="accent3" w:themeFillTint="66"/>
            <w:noWrap/>
            <w:vAlign w:val="bottom"/>
            <w:hideMark/>
          </w:tcPr>
          <w:p w14:paraId="091AD859"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Valor Inscrito</w:t>
            </w:r>
          </w:p>
        </w:tc>
      </w:tr>
      <w:tr w:rsidR="003372A0" w:rsidRPr="00EF7812" w14:paraId="5A474831"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6E664C2F"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113845</w:t>
            </w:r>
          </w:p>
        </w:tc>
        <w:tc>
          <w:tcPr>
            <w:tcW w:w="2306" w:type="dxa"/>
            <w:tcBorders>
              <w:top w:val="nil"/>
              <w:left w:val="nil"/>
              <w:bottom w:val="single" w:sz="4" w:space="0" w:color="auto"/>
              <w:right w:val="single" w:sz="4" w:space="0" w:color="auto"/>
            </w:tcBorders>
            <w:shd w:val="clear" w:color="auto" w:fill="auto"/>
            <w:noWrap/>
            <w:vAlign w:val="bottom"/>
            <w:hideMark/>
          </w:tcPr>
          <w:p w14:paraId="658587F4"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 </w:t>
            </w:r>
          </w:p>
        </w:tc>
        <w:tc>
          <w:tcPr>
            <w:tcW w:w="2117" w:type="dxa"/>
            <w:tcBorders>
              <w:top w:val="nil"/>
              <w:left w:val="nil"/>
              <w:bottom w:val="single" w:sz="4" w:space="0" w:color="auto"/>
              <w:right w:val="single" w:sz="4" w:space="0" w:color="auto"/>
            </w:tcBorders>
            <w:shd w:val="clear" w:color="auto" w:fill="auto"/>
            <w:noWrap/>
            <w:vAlign w:val="bottom"/>
            <w:hideMark/>
          </w:tcPr>
          <w:p w14:paraId="4EBD9699"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R$17.042,61</w:t>
            </w:r>
          </w:p>
        </w:tc>
      </w:tr>
      <w:tr w:rsidR="003372A0" w:rsidRPr="00EF7812" w14:paraId="7A375043"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7BA96D1E"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115048</w:t>
            </w:r>
          </w:p>
        </w:tc>
        <w:tc>
          <w:tcPr>
            <w:tcW w:w="2306" w:type="dxa"/>
            <w:tcBorders>
              <w:top w:val="nil"/>
              <w:left w:val="nil"/>
              <w:bottom w:val="single" w:sz="4" w:space="0" w:color="auto"/>
              <w:right w:val="single" w:sz="4" w:space="0" w:color="auto"/>
            </w:tcBorders>
            <w:shd w:val="clear" w:color="auto" w:fill="auto"/>
            <w:noWrap/>
            <w:vAlign w:val="bottom"/>
            <w:hideMark/>
          </w:tcPr>
          <w:p w14:paraId="2DCC18A0"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R$293.047,41</w:t>
            </w:r>
          </w:p>
        </w:tc>
        <w:tc>
          <w:tcPr>
            <w:tcW w:w="2117" w:type="dxa"/>
            <w:tcBorders>
              <w:top w:val="nil"/>
              <w:left w:val="nil"/>
              <w:bottom w:val="single" w:sz="4" w:space="0" w:color="auto"/>
              <w:right w:val="single" w:sz="4" w:space="0" w:color="auto"/>
            </w:tcBorders>
            <w:shd w:val="clear" w:color="auto" w:fill="auto"/>
            <w:noWrap/>
            <w:vAlign w:val="bottom"/>
            <w:hideMark/>
          </w:tcPr>
          <w:p w14:paraId="09D98E5E"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 xml:space="preserve"> </w:t>
            </w:r>
          </w:p>
        </w:tc>
      </w:tr>
      <w:tr w:rsidR="003372A0" w:rsidRPr="00EF7812" w14:paraId="127CB393"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370F094F"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122283</w:t>
            </w:r>
          </w:p>
        </w:tc>
        <w:tc>
          <w:tcPr>
            <w:tcW w:w="2306" w:type="dxa"/>
            <w:tcBorders>
              <w:top w:val="nil"/>
              <w:left w:val="nil"/>
              <w:bottom w:val="single" w:sz="4" w:space="0" w:color="auto"/>
              <w:right w:val="single" w:sz="4" w:space="0" w:color="auto"/>
            </w:tcBorders>
            <w:shd w:val="clear" w:color="auto" w:fill="auto"/>
            <w:noWrap/>
            <w:vAlign w:val="bottom"/>
            <w:hideMark/>
          </w:tcPr>
          <w:p w14:paraId="56E4F5FD"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R$64.618,75</w:t>
            </w:r>
          </w:p>
        </w:tc>
        <w:tc>
          <w:tcPr>
            <w:tcW w:w="2117" w:type="dxa"/>
            <w:tcBorders>
              <w:top w:val="nil"/>
              <w:left w:val="nil"/>
              <w:bottom w:val="single" w:sz="4" w:space="0" w:color="auto"/>
              <w:right w:val="single" w:sz="4" w:space="0" w:color="auto"/>
            </w:tcBorders>
            <w:shd w:val="clear" w:color="auto" w:fill="auto"/>
            <w:noWrap/>
            <w:vAlign w:val="bottom"/>
            <w:hideMark/>
          </w:tcPr>
          <w:p w14:paraId="28BDC008"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 xml:space="preserve"> </w:t>
            </w:r>
          </w:p>
        </w:tc>
      </w:tr>
      <w:tr w:rsidR="003372A0" w:rsidRPr="00EF7812" w14:paraId="1ADDA3A7"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5501B883"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111344</w:t>
            </w:r>
          </w:p>
        </w:tc>
        <w:tc>
          <w:tcPr>
            <w:tcW w:w="2306" w:type="dxa"/>
            <w:tcBorders>
              <w:top w:val="nil"/>
              <w:left w:val="nil"/>
              <w:bottom w:val="single" w:sz="4" w:space="0" w:color="auto"/>
              <w:right w:val="single" w:sz="4" w:space="0" w:color="auto"/>
            </w:tcBorders>
            <w:shd w:val="clear" w:color="auto" w:fill="auto"/>
            <w:noWrap/>
            <w:vAlign w:val="bottom"/>
            <w:hideMark/>
          </w:tcPr>
          <w:p w14:paraId="3E105694"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R$86.452,66</w:t>
            </w:r>
          </w:p>
        </w:tc>
        <w:tc>
          <w:tcPr>
            <w:tcW w:w="2117" w:type="dxa"/>
            <w:tcBorders>
              <w:top w:val="nil"/>
              <w:left w:val="nil"/>
              <w:bottom w:val="single" w:sz="4" w:space="0" w:color="auto"/>
              <w:right w:val="single" w:sz="4" w:space="0" w:color="auto"/>
            </w:tcBorders>
            <w:shd w:val="clear" w:color="auto" w:fill="auto"/>
            <w:noWrap/>
            <w:vAlign w:val="bottom"/>
            <w:hideMark/>
          </w:tcPr>
          <w:p w14:paraId="13D62F34"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 xml:space="preserve"> </w:t>
            </w:r>
          </w:p>
        </w:tc>
      </w:tr>
      <w:tr w:rsidR="003372A0" w:rsidRPr="00EF7812" w14:paraId="30C2147A"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43DBF544"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111153</w:t>
            </w:r>
          </w:p>
        </w:tc>
        <w:tc>
          <w:tcPr>
            <w:tcW w:w="2306" w:type="dxa"/>
            <w:tcBorders>
              <w:top w:val="nil"/>
              <w:left w:val="nil"/>
              <w:bottom w:val="single" w:sz="4" w:space="0" w:color="auto"/>
              <w:right w:val="single" w:sz="4" w:space="0" w:color="auto"/>
            </w:tcBorders>
            <w:shd w:val="clear" w:color="auto" w:fill="auto"/>
            <w:noWrap/>
            <w:vAlign w:val="bottom"/>
            <w:hideMark/>
          </w:tcPr>
          <w:p w14:paraId="685D0300"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R$145.132,71</w:t>
            </w:r>
          </w:p>
        </w:tc>
        <w:tc>
          <w:tcPr>
            <w:tcW w:w="2117" w:type="dxa"/>
            <w:tcBorders>
              <w:top w:val="nil"/>
              <w:left w:val="nil"/>
              <w:bottom w:val="single" w:sz="4" w:space="0" w:color="auto"/>
              <w:right w:val="single" w:sz="4" w:space="0" w:color="auto"/>
            </w:tcBorders>
            <w:shd w:val="clear" w:color="auto" w:fill="auto"/>
            <w:noWrap/>
            <w:vAlign w:val="bottom"/>
            <w:hideMark/>
          </w:tcPr>
          <w:p w14:paraId="5348F3E9"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 xml:space="preserve"> </w:t>
            </w:r>
          </w:p>
        </w:tc>
      </w:tr>
      <w:tr w:rsidR="003372A0" w:rsidRPr="00EF7812" w14:paraId="6A438736"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20985634"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113639</w:t>
            </w:r>
          </w:p>
        </w:tc>
        <w:tc>
          <w:tcPr>
            <w:tcW w:w="2306" w:type="dxa"/>
            <w:tcBorders>
              <w:top w:val="nil"/>
              <w:left w:val="nil"/>
              <w:bottom w:val="single" w:sz="4" w:space="0" w:color="auto"/>
              <w:right w:val="single" w:sz="4" w:space="0" w:color="auto"/>
            </w:tcBorders>
            <w:shd w:val="clear" w:color="auto" w:fill="auto"/>
            <w:noWrap/>
            <w:vAlign w:val="bottom"/>
            <w:hideMark/>
          </w:tcPr>
          <w:p w14:paraId="0F2FC01E"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R$21.069,34</w:t>
            </w:r>
          </w:p>
        </w:tc>
        <w:tc>
          <w:tcPr>
            <w:tcW w:w="2117" w:type="dxa"/>
            <w:tcBorders>
              <w:top w:val="nil"/>
              <w:left w:val="nil"/>
              <w:bottom w:val="single" w:sz="4" w:space="0" w:color="auto"/>
              <w:right w:val="single" w:sz="4" w:space="0" w:color="auto"/>
            </w:tcBorders>
            <w:shd w:val="clear" w:color="auto" w:fill="auto"/>
            <w:noWrap/>
            <w:vAlign w:val="bottom"/>
            <w:hideMark/>
          </w:tcPr>
          <w:p w14:paraId="35E9ED5B"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 xml:space="preserve"> </w:t>
            </w:r>
          </w:p>
        </w:tc>
      </w:tr>
      <w:tr w:rsidR="003372A0" w:rsidRPr="00EF7812" w14:paraId="3F6C5526"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3BA70393"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120857</w:t>
            </w:r>
          </w:p>
        </w:tc>
        <w:tc>
          <w:tcPr>
            <w:tcW w:w="2306" w:type="dxa"/>
            <w:tcBorders>
              <w:top w:val="nil"/>
              <w:left w:val="nil"/>
              <w:bottom w:val="single" w:sz="4" w:space="0" w:color="auto"/>
              <w:right w:val="single" w:sz="4" w:space="0" w:color="auto"/>
            </w:tcBorders>
            <w:shd w:val="clear" w:color="auto" w:fill="auto"/>
            <w:noWrap/>
            <w:vAlign w:val="bottom"/>
            <w:hideMark/>
          </w:tcPr>
          <w:p w14:paraId="1140F9E5"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R$158,20</w:t>
            </w:r>
          </w:p>
        </w:tc>
        <w:tc>
          <w:tcPr>
            <w:tcW w:w="2117" w:type="dxa"/>
            <w:tcBorders>
              <w:top w:val="nil"/>
              <w:left w:val="nil"/>
              <w:bottom w:val="single" w:sz="4" w:space="0" w:color="auto"/>
              <w:right w:val="single" w:sz="4" w:space="0" w:color="auto"/>
            </w:tcBorders>
            <w:shd w:val="clear" w:color="auto" w:fill="auto"/>
            <w:noWrap/>
            <w:vAlign w:val="bottom"/>
            <w:hideMark/>
          </w:tcPr>
          <w:p w14:paraId="04BF715B" w14:textId="77777777" w:rsidR="003372A0" w:rsidRPr="00EF7812" w:rsidRDefault="003372A0" w:rsidP="00966CB0">
            <w:pPr>
              <w:spacing w:after="0" w:line="240" w:lineRule="auto"/>
              <w:rPr>
                <w:rFonts w:ascii="Century Gothic" w:hAnsi="Century Gothic"/>
                <w:sz w:val="16"/>
                <w:szCs w:val="16"/>
              </w:rPr>
            </w:pPr>
            <w:r w:rsidRPr="00EF7812">
              <w:rPr>
                <w:rFonts w:ascii="Century Gothic" w:hAnsi="Century Gothic"/>
                <w:sz w:val="16"/>
                <w:szCs w:val="16"/>
              </w:rPr>
              <w:t xml:space="preserve"> </w:t>
            </w:r>
          </w:p>
        </w:tc>
      </w:tr>
      <w:tr w:rsidR="003372A0" w:rsidRPr="00EF7812" w14:paraId="18DC29B3" w14:textId="77777777" w:rsidTr="00966CB0">
        <w:trPr>
          <w:trHeight w:val="188"/>
          <w:jc w:val="center"/>
        </w:trPr>
        <w:tc>
          <w:tcPr>
            <w:tcW w:w="1388" w:type="dxa"/>
            <w:tcBorders>
              <w:top w:val="nil"/>
              <w:left w:val="single" w:sz="4" w:space="0" w:color="auto"/>
              <w:bottom w:val="single" w:sz="4" w:space="0" w:color="auto"/>
              <w:right w:val="single" w:sz="4" w:space="0" w:color="auto"/>
            </w:tcBorders>
            <w:shd w:val="clear" w:color="auto" w:fill="auto"/>
            <w:noWrap/>
            <w:vAlign w:val="bottom"/>
            <w:hideMark/>
          </w:tcPr>
          <w:p w14:paraId="3A0B6946" w14:textId="77777777" w:rsidR="003372A0" w:rsidRPr="00EF7812" w:rsidRDefault="003372A0" w:rsidP="00966CB0">
            <w:pPr>
              <w:spacing w:after="0" w:line="240" w:lineRule="auto"/>
              <w:jc w:val="center"/>
              <w:rPr>
                <w:rFonts w:ascii="Century Gothic" w:hAnsi="Century Gothic"/>
                <w:sz w:val="16"/>
                <w:szCs w:val="16"/>
              </w:rPr>
            </w:pPr>
            <w:r w:rsidRPr="00EF7812">
              <w:rPr>
                <w:rFonts w:ascii="Century Gothic" w:hAnsi="Century Gothic"/>
                <w:sz w:val="16"/>
                <w:szCs w:val="16"/>
              </w:rPr>
              <w:t>Sub- Total</w:t>
            </w:r>
          </w:p>
        </w:tc>
        <w:tc>
          <w:tcPr>
            <w:tcW w:w="2306" w:type="dxa"/>
            <w:tcBorders>
              <w:top w:val="nil"/>
              <w:left w:val="nil"/>
              <w:bottom w:val="single" w:sz="4" w:space="0" w:color="auto"/>
              <w:right w:val="single" w:sz="4" w:space="0" w:color="auto"/>
            </w:tcBorders>
            <w:shd w:val="clear" w:color="auto" w:fill="auto"/>
            <w:noWrap/>
            <w:vAlign w:val="bottom"/>
            <w:hideMark/>
          </w:tcPr>
          <w:p w14:paraId="62D26D6E"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R$610.479,07</w:t>
            </w:r>
          </w:p>
        </w:tc>
        <w:tc>
          <w:tcPr>
            <w:tcW w:w="2117" w:type="dxa"/>
            <w:tcBorders>
              <w:top w:val="nil"/>
              <w:left w:val="nil"/>
              <w:bottom w:val="single" w:sz="4" w:space="0" w:color="auto"/>
              <w:right w:val="single" w:sz="4" w:space="0" w:color="auto"/>
            </w:tcBorders>
            <w:shd w:val="clear" w:color="auto" w:fill="auto"/>
            <w:noWrap/>
            <w:vAlign w:val="bottom"/>
            <w:hideMark/>
          </w:tcPr>
          <w:p w14:paraId="3DBD0E58" w14:textId="77777777" w:rsidR="003372A0" w:rsidRPr="00EF7812" w:rsidRDefault="003372A0" w:rsidP="00966CB0">
            <w:pPr>
              <w:spacing w:after="0" w:line="240" w:lineRule="auto"/>
              <w:jc w:val="right"/>
              <w:rPr>
                <w:rFonts w:ascii="Century Gothic" w:hAnsi="Century Gothic"/>
                <w:sz w:val="16"/>
                <w:szCs w:val="16"/>
              </w:rPr>
            </w:pPr>
            <w:r w:rsidRPr="00EF7812">
              <w:rPr>
                <w:rFonts w:ascii="Century Gothic" w:hAnsi="Century Gothic"/>
                <w:sz w:val="16"/>
                <w:szCs w:val="16"/>
              </w:rPr>
              <w:t>R$17.042,61</w:t>
            </w:r>
          </w:p>
        </w:tc>
      </w:tr>
    </w:tbl>
    <w:p w14:paraId="513888CD" w14:textId="77777777" w:rsidR="003372A0" w:rsidRDefault="003372A0" w:rsidP="003372A0">
      <w:pPr>
        <w:ind w:firstLine="1418"/>
        <w:rPr>
          <w:rFonts w:ascii="Century Gothic" w:hAnsi="Century Gothic"/>
        </w:rPr>
      </w:pPr>
    </w:p>
    <w:p w14:paraId="00E4F2F9" w14:textId="77777777" w:rsidR="003372A0" w:rsidRPr="00EF7812" w:rsidRDefault="003372A0" w:rsidP="003372A0">
      <w:pPr>
        <w:ind w:firstLine="1418"/>
        <w:jc w:val="both"/>
        <w:rPr>
          <w:rFonts w:ascii="Century Gothic" w:hAnsi="Century Gothic"/>
        </w:rPr>
      </w:pPr>
      <w:r w:rsidRPr="00EF7812">
        <w:rPr>
          <w:rFonts w:ascii="Century Gothic" w:hAnsi="Century Gothic"/>
        </w:rPr>
        <w:t>A segunda maior fonte de recurso é a de concurso de servidores que arrecadou neste ano R$ 1.981.503,60, através dos concursos processo 049/17-FED.</w:t>
      </w:r>
    </w:p>
    <w:p w14:paraId="6A49ED68" w14:textId="77777777" w:rsidR="003372A0" w:rsidRDefault="003372A0" w:rsidP="003372A0">
      <w:pPr>
        <w:ind w:firstLine="1418"/>
        <w:jc w:val="both"/>
        <w:rPr>
          <w:rFonts w:ascii="Century Gothic" w:hAnsi="Century Gothic"/>
        </w:rPr>
      </w:pPr>
    </w:p>
    <w:p w14:paraId="31259C67" w14:textId="77777777" w:rsidR="003372A0" w:rsidRPr="00EF7812" w:rsidRDefault="003372A0" w:rsidP="003372A0">
      <w:pPr>
        <w:ind w:firstLine="1418"/>
        <w:jc w:val="both"/>
        <w:rPr>
          <w:rFonts w:ascii="Century Gothic" w:hAnsi="Century Gothic"/>
        </w:rPr>
      </w:pPr>
      <w:r w:rsidRPr="00EF7812">
        <w:rPr>
          <w:rFonts w:ascii="Century Gothic" w:hAnsi="Century Gothic"/>
        </w:rPr>
        <w:t xml:space="preserve"> A fonte de recurso “serviço MP” (certidões, cópias reprográficas e entre outras, atestado de capacidade, etc.…) arrecadou neste ano o montante de R$ 322.303,65.</w:t>
      </w:r>
    </w:p>
    <w:p w14:paraId="0AEDF6C2" w14:textId="77777777" w:rsidR="003372A0" w:rsidRPr="00EF7812" w:rsidRDefault="003372A0" w:rsidP="003372A0">
      <w:pPr>
        <w:ind w:firstLine="1418"/>
        <w:jc w:val="both"/>
        <w:rPr>
          <w:rFonts w:ascii="Century Gothic" w:hAnsi="Century Gothic"/>
        </w:rPr>
      </w:pPr>
    </w:p>
    <w:p w14:paraId="6620340F" w14:textId="77777777" w:rsidR="003372A0" w:rsidRDefault="003372A0" w:rsidP="003372A0">
      <w:pPr>
        <w:ind w:firstLine="1418"/>
        <w:jc w:val="both"/>
        <w:rPr>
          <w:rFonts w:ascii="Century Gothic" w:hAnsi="Century Gothic"/>
        </w:rPr>
      </w:pPr>
      <w:r w:rsidRPr="00EF7812">
        <w:rPr>
          <w:rFonts w:ascii="Century Gothic" w:hAnsi="Century Gothic"/>
        </w:rPr>
        <w:t>O rendimento do valor aplicado através da Secretaria da Fazenda é de R$ 8.932.752,32.</w:t>
      </w:r>
    </w:p>
    <w:p w14:paraId="7C7A1D81" w14:textId="77777777" w:rsidR="003372A0" w:rsidRPr="00EF7812" w:rsidRDefault="003372A0" w:rsidP="003372A0">
      <w:pPr>
        <w:spacing w:after="0"/>
        <w:ind w:right="3401"/>
        <w:rPr>
          <w:rFonts w:ascii="Century Gothic" w:hAnsi="Century Gothic"/>
        </w:rPr>
      </w:pPr>
    </w:p>
    <w:p w14:paraId="73CAD9F1" w14:textId="77777777" w:rsidR="003372A0" w:rsidRDefault="003372A0" w:rsidP="003372A0">
      <w:pPr>
        <w:pStyle w:val="PargrafodaLista"/>
        <w:ind w:left="1080"/>
        <w:jc w:val="both"/>
        <w:rPr>
          <w:rFonts w:ascii="Century Gothic" w:hAnsi="Century Gothic"/>
        </w:rPr>
      </w:pPr>
    </w:p>
    <w:p w14:paraId="4817EAF6" w14:textId="77777777" w:rsidR="003372A0" w:rsidRPr="00DE0E2F" w:rsidRDefault="003372A0" w:rsidP="003372A0">
      <w:pPr>
        <w:ind w:left="180"/>
        <w:jc w:val="both"/>
        <w:rPr>
          <w:rFonts w:ascii="Century Gothic" w:hAnsi="Century Gothic"/>
          <w:b/>
          <w:u w:val="single"/>
        </w:rPr>
      </w:pPr>
      <w:r w:rsidRPr="00DE0E2F">
        <w:rPr>
          <w:rFonts w:ascii="Century Gothic" w:hAnsi="Century Gothic"/>
          <w:b/>
          <w:u w:val="single"/>
        </w:rPr>
        <w:t>Quanto a Despesa:</w:t>
      </w:r>
    </w:p>
    <w:p w14:paraId="589DB54F" w14:textId="77777777" w:rsidR="003372A0" w:rsidRPr="00EF7812" w:rsidRDefault="003372A0" w:rsidP="003372A0">
      <w:pPr>
        <w:ind w:firstLine="426"/>
        <w:jc w:val="both"/>
        <w:rPr>
          <w:rFonts w:ascii="Century Gothic" w:hAnsi="Century Gothic"/>
        </w:rPr>
      </w:pPr>
    </w:p>
    <w:p w14:paraId="35417EA7" w14:textId="77777777" w:rsidR="003372A0" w:rsidRPr="00EF7812" w:rsidRDefault="003372A0" w:rsidP="003372A0">
      <w:pPr>
        <w:ind w:firstLine="426"/>
        <w:jc w:val="both"/>
        <w:rPr>
          <w:rFonts w:ascii="Century Gothic" w:hAnsi="Century Gothic"/>
        </w:rPr>
      </w:pPr>
      <w:r w:rsidRPr="00EF7812">
        <w:rPr>
          <w:rFonts w:ascii="Century Gothic" w:hAnsi="Century Gothic"/>
        </w:rPr>
        <w:t>Processos de pagamento</w:t>
      </w:r>
    </w:p>
    <w:p w14:paraId="2CA4962D" w14:textId="77777777" w:rsidR="003372A0" w:rsidRPr="00EF7812" w:rsidRDefault="003372A0" w:rsidP="003372A0">
      <w:pPr>
        <w:ind w:left="180"/>
        <w:jc w:val="both"/>
        <w:rPr>
          <w:rFonts w:ascii="Century Gothic" w:hAnsi="Century Gothic"/>
        </w:rPr>
      </w:pPr>
    </w:p>
    <w:p w14:paraId="4121F717"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Fornecimento da numeração de processo às diversas áreas intervenientes em processos dos Fundos Especiais de Despesas;</w:t>
      </w:r>
    </w:p>
    <w:p w14:paraId="4F1116C7" w14:textId="77777777" w:rsidR="003372A0" w:rsidRPr="00EF7812" w:rsidRDefault="003372A0" w:rsidP="003372A0">
      <w:pPr>
        <w:jc w:val="both"/>
        <w:rPr>
          <w:rFonts w:ascii="Century Gothic" w:hAnsi="Century Gothic"/>
        </w:rPr>
      </w:pPr>
    </w:p>
    <w:p w14:paraId="5DA3BFEF"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Abertura de processos específicos da subárea;</w:t>
      </w:r>
    </w:p>
    <w:p w14:paraId="6E072663" w14:textId="77777777" w:rsidR="003372A0" w:rsidRPr="00EF7812" w:rsidRDefault="003372A0" w:rsidP="003372A0">
      <w:pPr>
        <w:jc w:val="both"/>
        <w:rPr>
          <w:rFonts w:ascii="Century Gothic" w:hAnsi="Century Gothic"/>
        </w:rPr>
      </w:pPr>
    </w:p>
    <w:p w14:paraId="235899C1"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Confecção de etiquetas para capas de processos de pagamento e termo de abertura/encerramento para processos originários na subárea e demais volumes dos processos físicos de pagamento;</w:t>
      </w:r>
    </w:p>
    <w:p w14:paraId="190F4946" w14:textId="77777777" w:rsidR="003372A0" w:rsidRPr="00EF7812" w:rsidRDefault="003372A0" w:rsidP="003372A0">
      <w:pPr>
        <w:pStyle w:val="PargrafodaLista"/>
        <w:jc w:val="both"/>
        <w:rPr>
          <w:rFonts w:ascii="Century Gothic" w:hAnsi="Century Gothic"/>
        </w:rPr>
      </w:pPr>
    </w:p>
    <w:p w14:paraId="7A7AB2D5"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 xml:space="preserve">Controle em planilha própria dos valores descontados diariamente na conta “C” quando dos recebimentos das receitas relativos à cobrança de tarifa bancária, com anotação da respectiva CANGR (cancelamento do registro do recebimento); </w:t>
      </w:r>
    </w:p>
    <w:p w14:paraId="502B7C41" w14:textId="77777777" w:rsidR="003372A0" w:rsidRPr="00EF7812" w:rsidRDefault="003372A0" w:rsidP="003372A0">
      <w:pPr>
        <w:ind w:left="786"/>
        <w:jc w:val="both"/>
        <w:rPr>
          <w:rFonts w:ascii="Century Gothic" w:hAnsi="Century Gothic"/>
        </w:rPr>
      </w:pPr>
    </w:p>
    <w:p w14:paraId="2F4AB297"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Emissão mensal de duas NL (Nota de Lançamento): a primeira referente à liquidação das tarifas bancárias, e a segunda referente à respectiva baixa dos valores das tarifas bancárias das UGs;</w:t>
      </w:r>
    </w:p>
    <w:p w14:paraId="5FB210B0" w14:textId="77777777" w:rsidR="003372A0" w:rsidRPr="00EF7812" w:rsidRDefault="003372A0" w:rsidP="003372A0">
      <w:pPr>
        <w:jc w:val="both"/>
        <w:rPr>
          <w:rFonts w:ascii="Century Gothic" w:hAnsi="Century Gothic"/>
        </w:rPr>
      </w:pPr>
    </w:p>
    <w:p w14:paraId="4D3714DE"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Recebimento de Documentação referentes à Folha de Pagamento de Contribuinte Individual que prestam serviços para o Fundo de Despesa do Centro de Estudos da Escola Superior do Ministério Público para respectiva elaboração, conferência, retenção dos tributos devidos (INSS, ISS e IR), cálculo e geração de guia para recolhimento do INSS parte Patronal e respectivo RAT. Elaboração de Lista, com conferência dos dados bancários para pagamento de Pessoa Física junto ao SIAFEM, emissão de Nota de Liquidação (NL), retenções e transferência de IR, Programação de Desembolso (PD) e Ordens Bancárias (OB) respectivas.</w:t>
      </w:r>
    </w:p>
    <w:p w14:paraId="552855D3" w14:textId="77777777" w:rsidR="003372A0" w:rsidRPr="00EF7812" w:rsidRDefault="003372A0" w:rsidP="003372A0">
      <w:pPr>
        <w:pStyle w:val="PargrafodaLista"/>
        <w:jc w:val="both"/>
        <w:rPr>
          <w:rFonts w:ascii="Century Gothic" w:hAnsi="Century Gothic"/>
        </w:rPr>
      </w:pPr>
    </w:p>
    <w:p w14:paraId="07715CF1"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Recebimento, processamento, acompanhamento e envio de documentos e processos de pagamento, processos chave, apartados e apensados, fisicamente e através do SISMP;</w:t>
      </w:r>
    </w:p>
    <w:p w14:paraId="23074280" w14:textId="77777777" w:rsidR="003372A0" w:rsidRPr="00EF7812" w:rsidRDefault="003372A0" w:rsidP="003372A0">
      <w:pPr>
        <w:jc w:val="both"/>
        <w:rPr>
          <w:rFonts w:ascii="Century Gothic" w:hAnsi="Century Gothic"/>
        </w:rPr>
      </w:pPr>
    </w:p>
    <w:p w14:paraId="688EDDC6"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Emissão de Notas de Liquidação (NL), retenção e transferência de IR, Programação de Desembolso (PD) e Ordens Bancárias (OB), confeccionadas no SIAFEM e SIAFISICO, pertinentes aos pagamentos de fornecedores;</w:t>
      </w:r>
    </w:p>
    <w:p w14:paraId="4BDED463" w14:textId="77777777" w:rsidR="003372A0" w:rsidRPr="00EF7812" w:rsidRDefault="003372A0" w:rsidP="003372A0">
      <w:pPr>
        <w:jc w:val="both"/>
        <w:rPr>
          <w:rFonts w:ascii="Century Gothic" w:hAnsi="Century Gothic"/>
        </w:rPr>
      </w:pPr>
    </w:p>
    <w:p w14:paraId="3E86C38A"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Alimentação de planilhas específicas por fornecedor/credor de bens, serviços e materiais de consumo;</w:t>
      </w:r>
    </w:p>
    <w:p w14:paraId="53085C59" w14:textId="77777777" w:rsidR="003372A0" w:rsidRPr="00EF7812" w:rsidRDefault="003372A0" w:rsidP="003372A0">
      <w:pPr>
        <w:jc w:val="both"/>
        <w:rPr>
          <w:rFonts w:ascii="Century Gothic" w:hAnsi="Century Gothic"/>
        </w:rPr>
      </w:pPr>
    </w:p>
    <w:p w14:paraId="02CBACA9"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Encaminhamento do processo e documentação de pagamento à consistência documental da Diretoria de Contabilidade;</w:t>
      </w:r>
    </w:p>
    <w:p w14:paraId="5AAB7934" w14:textId="77777777" w:rsidR="003372A0" w:rsidRPr="00EF7812" w:rsidRDefault="003372A0" w:rsidP="003372A0">
      <w:pPr>
        <w:jc w:val="both"/>
        <w:rPr>
          <w:rFonts w:ascii="Century Gothic" w:hAnsi="Century Gothic"/>
        </w:rPr>
      </w:pPr>
    </w:p>
    <w:p w14:paraId="7F55A75E"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Registro em controle de consistência para acompanhamento de vencimentos, transferências de IR, encaminhamento de guias, atrasos de pagamento e informação às empresas sobre previsão de pagamentos;</w:t>
      </w:r>
    </w:p>
    <w:p w14:paraId="1402AC13" w14:textId="77777777" w:rsidR="003372A0" w:rsidRPr="00EF7812" w:rsidRDefault="003372A0" w:rsidP="003372A0">
      <w:pPr>
        <w:jc w:val="both"/>
        <w:rPr>
          <w:rFonts w:ascii="Century Gothic" w:hAnsi="Century Gothic"/>
        </w:rPr>
      </w:pPr>
    </w:p>
    <w:p w14:paraId="4590102C"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Encaminhamento de processos ao gestor/agente fiscalizador para aguardo de novo faturamento e/ou providências quanto à documentação necessária ao pagamento;</w:t>
      </w:r>
    </w:p>
    <w:p w14:paraId="42C93576" w14:textId="77777777" w:rsidR="003372A0" w:rsidRPr="00EF7812" w:rsidRDefault="003372A0" w:rsidP="003372A0">
      <w:pPr>
        <w:jc w:val="both"/>
        <w:rPr>
          <w:rFonts w:ascii="Century Gothic" w:hAnsi="Century Gothic"/>
        </w:rPr>
      </w:pPr>
    </w:p>
    <w:p w14:paraId="3C14C2AA"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Pesquisa SIGEO para informação sobre a existência/inexistência de saldo nos empenhos;</w:t>
      </w:r>
    </w:p>
    <w:p w14:paraId="037CC296" w14:textId="77777777" w:rsidR="003372A0" w:rsidRPr="00EF7812" w:rsidRDefault="003372A0" w:rsidP="003372A0">
      <w:pPr>
        <w:pStyle w:val="PargrafodaLista"/>
        <w:jc w:val="both"/>
        <w:rPr>
          <w:rFonts w:ascii="Century Gothic" w:hAnsi="Century Gothic"/>
        </w:rPr>
      </w:pPr>
    </w:p>
    <w:p w14:paraId="6441AB43"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Elaboração de listagem diária de vencimento de compromissos e IR retido para pagamento e transferência do IR pela assistência técnica da Diretoria do Centro de Finanças;</w:t>
      </w:r>
    </w:p>
    <w:p w14:paraId="46542113" w14:textId="77777777" w:rsidR="003372A0" w:rsidRPr="00EF7812" w:rsidRDefault="003372A0" w:rsidP="003372A0">
      <w:pPr>
        <w:ind w:left="786"/>
        <w:jc w:val="both"/>
        <w:rPr>
          <w:rFonts w:ascii="Century Gothic" w:hAnsi="Century Gothic"/>
        </w:rPr>
      </w:pPr>
    </w:p>
    <w:p w14:paraId="2485B9C9" w14:textId="77777777" w:rsidR="003372A0" w:rsidRPr="00EF7812" w:rsidRDefault="003372A0" w:rsidP="003372A0">
      <w:pPr>
        <w:numPr>
          <w:ilvl w:val="0"/>
          <w:numId w:val="12"/>
        </w:numPr>
        <w:spacing w:after="0" w:line="360" w:lineRule="auto"/>
        <w:jc w:val="both"/>
        <w:rPr>
          <w:rFonts w:ascii="Century Gothic" w:hAnsi="Century Gothic"/>
        </w:rPr>
      </w:pPr>
      <w:r w:rsidRPr="00EF7812">
        <w:rPr>
          <w:rFonts w:ascii="Century Gothic" w:hAnsi="Century Gothic"/>
        </w:rPr>
        <w:t>Inscrição em Restos a Pagar;</w:t>
      </w:r>
    </w:p>
    <w:p w14:paraId="39350C5E" w14:textId="77777777" w:rsidR="003372A0" w:rsidRPr="00EF7812" w:rsidRDefault="003372A0" w:rsidP="003372A0">
      <w:pPr>
        <w:pStyle w:val="PargrafodaLista"/>
        <w:rPr>
          <w:rFonts w:ascii="Century Gothic" w:hAnsi="Century Gothic"/>
        </w:rPr>
      </w:pPr>
    </w:p>
    <w:p w14:paraId="43283C67" w14:textId="77777777" w:rsidR="003372A0" w:rsidRPr="00EF7812" w:rsidRDefault="003372A0" w:rsidP="003372A0">
      <w:pPr>
        <w:numPr>
          <w:ilvl w:val="0"/>
          <w:numId w:val="12"/>
        </w:numPr>
        <w:spacing w:after="0" w:line="360" w:lineRule="auto"/>
        <w:jc w:val="both"/>
        <w:rPr>
          <w:rFonts w:ascii="Century Gothic" w:hAnsi="Century Gothic"/>
        </w:rPr>
      </w:pPr>
      <w:r w:rsidRPr="00EF7812">
        <w:rPr>
          <w:rFonts w:ascii="Century Gothic" w:hAnsi="Century Gothic"/>
        </w:rPr>
        <w:t xml:space="preserve"> NL de transferência de Restos a pagar para pagamento de processos cujo saldo foi inscrito em restos a pagar</w:t>
      </w:r>
    </w:p>
    <w:p w14:paraId="79A2157B" w14:textId="77777777" w:rsidR="003372A0" w:rsidRPr="00EF7812" w:rsidRDefault="003372A0" w:rsidP="003372A0">
      <w:pPr>
        <w:pStyle w:val="PargrafodaLista"/>
        <w:rPr>
          <w:rFonts w:ascii="Century Gothic" w:hAnsi="Century Gothic"/>
        </w:rPr>
      </w:pPr>
    </w:p>
    <w:p w14:paraId="5A1EF642" w14:textId="77777777" w:rsidR="003372A0" w:rsidRPr="00EF7812" w:rsidRDefault="003372A0" w:rsidP="003372A0">
      <w:pPr>
        <w:numPr>
          <w:ilvl w:val="0"/>
          <w:numId w:val="12"/>
        </w:numPr>
        <w:spacing w:after="0" w:line="360" w:lineRule="auto"/>
        <w:jc w:val="both"/>
        <w:rPr>
          <w:rFonts w:ascii="Century Gothic" w:hAnsi="Century Gothic"/>
        </w:rPr>
      </w:pPr>
      <w:r w:rsidRPr="00EF7812">
        <w:rPr>
          <w:rFonts w:ascii="Century Gothic" w:hAnsi="Century Gothic"/>
        </w:rPr>
        <w:t>NL de baixa contratual, dos processos cujo saldo foi inscrito em restos a pagar</w:t>
      </w:r>
    </w:p>
    <w:p w14:paraId="70DA3570" w14:textId="77777777" w:rsidR="003372A0" w:rsidRPr="00EF7812" w:rsidRDefault="003372A0" w:rsidP="003372A0">
      <w:pPr>
        <w:ind w:left="786"/>
        <w:jc w:val="both"/>
        <w:rPr>
          <w:rFonts w:ascii="Century Gothic" w:hAnsi="Century Gothic"/>
        </w:rPr>
      </w:pPr>
    </w:p>
    <w:p w14:paraId="7E41065D" w14:textId="77777777" w:rsidR="003372A0" w:rsidRPr="00EF7812" w:rsidRDefault="003372A0" w:rsidP="003372A0">
      <w:pPr>
        <w:ind w:left="709"/>
        <w:jc w:val="both"/>
        <w:rPr>
          <w:rFonts w:ascii="Century Gothic" w:hAnsi="Century Gothic"/>
        </w:rPr>
      </w:pPr>
      <w:r w:rsidRPr="00EF7812">
        <w:rPr>
          <w:rFonts w:ascii="Century Gothic" w:hAnsi="Century Gothic"/>
        </w:rPr>
        <w:t xml:space="preserve">SEI – Sistema Eletrônico de Informação </w:t>
      </w:r>
    </w:p>
    <w:p w14:paraId="1F9E2795" w14:textId="77777777" w:rsidR="003372A0" w:rsidRPr="00EF7812" w:rsidRDefault="003372A0" w:rsidP="003372A0">
      <w:pPr>
        <w:jc w:val="both"/>
        <w:rPr>
          <w:rFonts w:ascii="Century Gothic" w:hAnsi="Century Gothic"/>
        </w:rPr>
      </w:pPr>
    </w:p>
    <w:p w14:paraId="1161341B"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Elaboração de listagem diária de vencimento de compromissos e IR retido para pagamento e transferência do IR pela assistência técnica da Diretoria do Centro de Finanças;</w:t>
      </w:r>
    </w:p>
    <w:p w14:paraId="5918B365" w14:textId="77777777" w:rsidR="003372A0" w:rsidRPr="00EF7812" w:rsidRDefault="003372A0" w:rsidP="003372A0">
      <w:pPr>
        <w:jc w:val="both"/>
        <w:rPr>
          <w:rFonts w:ascii="Century Gothic" w:hAnsi="Century Gothic"/>
        </w:rPr>
      </w:pPr>
    </w:p>
    <w:p w14:paraId="23A6FD63"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Encaminhamento de pagamentos referentes a tributos retidos para acompanhamento, conferência e ‘de acordo’ da Diretoria de Contabilidade – Tributos;</w:t>
      </w:r>
    </w:p>
    <w:p w14:paraId="585394AF" w14:textId="77777777" w:rsidR="003372A0" w:rsidRPr="00EF7812" w:rsidRDefault="003372A0" w:rsidP="003372A0">
      <w:pPr>
        <w:jc w:val="both"/>
        <w:rPr>
          <w:rFonts w:ascii="Century Gothic" w:hAnsi="Century Gothic"/>
        </w:rPr>
      </w:pPr>
    </w:p>
    <w:p w14:paraId="197BCFA0"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Conferência diária sobre a inclusão de novos processos para pagamento;</w:t>
      </w:r>
    </w:p>
    <w:p w14:paraId="3DD8DCA1" w14:textId="77777777" w:rsidR="003372A0" w:rsidRPr="00EF7812" w:rsidRDefault="003372A0" w:rsidP="003372A0">
      <w:pPr>
        <w:jc w:val="both"/>
        <w:rPr>
          <w:rFonts w:ascii="Century Gothic" w:hAnsi="Century Gothic"/>
        </w:rPr>
      </w:pPr>
    </w:p>
    <w:p w14:paraId="4394EC79"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Controle dos blocos de assinatura para envio sistematizado à consistência documental;</w:t>
      </w:r>
    </w:p>
    <w:p w14:paraId="4340AB95" w14:textId="77777777" w:rsidR="003372A0" w:rsidRPr="00EF7812" w:rsidRDefault="003372A0" w:rsidP="003372A0">
      <w:pPr>
        <w:jc w:val="both"/>
        <w:rPr>
          <w:rFonts w:ascii="Century Gothic" w:hAnsi="Century Gothic"/>
        </w:rPr>
      </w:pPr>
    </w:p>
    <w:p w14:paraId="230353DD"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Inclusão das Notas de Liquidação (NL) emitidas pelos gestores, elaboração e inclusão das Programações de Desembolso (PD) e, após o pagamento, inclusão das Ordens Bancárias (OB) e conclusão dos processos no sistema;</w:t>
      </w:r>
    </w:p>
    <w:p w14:paraId="51B50BDE" w14:textId="77777777" w:rsidR="003372A0" w:rsidRPr="00EF7812" w:rsidRDefault="003372A0" w:rsidP="003372A0">
      <w:pPr>
        <w:pStyle w:val="PargrafodaLista"/>
        <w:jc w:val="both"/>
        <w:rPr>
          <w:rFonts w:ascii="Century Gothic" w:hAnsi="Century Gothic"/>
        </w:rPr>
      </w:pPr>
    </w:p>
    <w:p w14:paraId="29952189" w14:textId="77777777" w:rsidR="003372A0" w:rsidRPr="00EF7812" w:rsidRDefault="003372A0" w:rsidP="003372A0">
      <w:pPr>
        <w:pStyle w:val="PargrafodaLista"/>
        <w:jc w:val="both"/>
        <w:rPr>
          <w:rFonts w:ascii="Century Gothic" w:hAnsi="Century Gothic"/>
        </w:rPr>
      </w:pPr>
    </w:p>
    <w:p w14:paraId="59344F19" w14:textId="77777777" w:rsidR="003372A0" w:rsidRPr="00EF7812" w:rsidRDefault="003372A0" w:rsidP="003372A0">
      <w:pPr>
        <w:pStyle w:val="PargrafodaLista"/>
        <w:ind w:left="786"/>
        <w:jc w:val="both"/>
        <w:rPr>
          <w:rFonts w:ascii="Century Gothic" w:hAnsi="Century Gothic"/>
        </w:rPr>
      </w:pPr>
      <w:r w:rsidRPr="00EF7812">
        <w:rPr>
          <w:rFonts w:ascii="Century Gothic" w:hAnsi="Century Gothic"/>
        </w:rPr>
        <w:t>TCE - SisOCP / AUDESP</w:t>
      </w:r>
    </w:p>
    <w:p w14:paraId="46CB531D" w14:textId="77777777" w:rsidR="003372A0" w:rsidRPr="00EF7812" w:rsidRDefault="003372A0" w:rsidP="003372A0">
      <w:pPr>
        <w:ind w:left="786"/>
        <w:jc w:val="both"/>
        <w:rPr>
          <w:rFonts w:ascii="Century Gothic" w:hAnsi="Century Gothic"/>
        </w:rPr>
      </w:pPr>
    </w:p>
    <w:p w14:paraId="014061FF"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Controle dos pagamentos de processos cujos valores de contrato excedam R$ 80.000,00, para informação via SisOCP;</w:t>
      </w:r>
    </w:p>
    <w:p w14:paraId="1DFC1AAD" w14:textId="77777777" w:rsidR="003372A0" w:rsidRPr="00EF7812" w:rsidRDefault="003372A0" w:rsidP="003372A0">
      <w:pPr>
        <w:ind w:left="786"/>
        <w:jc w:val="both"/>
        <w:rPr>
          <w:rFonts w:ascii="Century Gothic" w:hAnsi="Century Gothic"/>
        </w:rPr>
      </w:pPr>
    </w:p>
    <w:p w14:paraId="6B982AAD"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Controle das datas de vencimento e pagamento dos processos para, em caso de atraso, elaborar informação de justificativa, com envio à área de pagamento para posterior publicação da ordem cronológica em Diário Oficial e posterior lançamento da data de publicação no SisOCP e semestralmente transmissão do arquivo SisOCP ao Tribunal de Contas do Estado;</w:t>
      </w:r>
    </w:p>
    <w:p w14:paraId="47AA0D4B" w14:textId="77777777" w:rsidR="003372A0" w:rsidRPr="00EF7812" w:rsidRDefault="003372A0" w:rsidP="003372A0">
      <w:pPr>
        <w:ind w:left="786"/>
        <w:jc w:val="both"/>
        <w:rPr>
          <w:rFonts w:ascii="Century Gothic" w:hAnsi="Century Gothic"/>
        </w:rPr>
      </w:pPr>
    </w:p>
    <w:p w14:paraId="61CCE1C4"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Informação relativa aos valores pagos em atraso, previamente justificados e publicados no D.O.E.;</w:t>
      </w:r>
    </w:p>
    <w:p w14:paraId="0BFE0F26" w14:textId="77777777" w:rsidR="003372A0" w:rsidRPr="00EF7812" w:rsidRDefault="003372A0" w:rsidP="003372A0">
      <w:pPr>
        <w:ind w:left="786"/>
        <w:jc w:val="both"/>
        <w:rPr>
          <w:rFonts w:ascii="Century Gothic" w:hAnsi="Century Gothic"/>
        </w:rPr>
      </w:pPr>
    </w:p>
    <w:p w14:paraId="2C97CA58"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Inserção da documentação referente às informações de atraso de pagamento nos processos via SEI ou físico;</w:t>
      </w:r>
    </w:p>
    <w:p w14:paraId="563A6BE2" w14:textId="77777777" w:rsidR="003372A0" w:rsidRDefault="003372A0" w:rsidP="003372A0">
      <w:pPr>
        <w:ind w:left="786"/>
        <w:jc w:val="both"/>
        <w:rPr>
          <w:rFonts w:ascii="Century Gothic" w:hAnsi="Century Gothic"/>
        </w:rPr>
      </w:pPr>
    </w:p>
    <w:p w14:paraId="1A4995BF"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Lançamento, até o último dia do mês subsequente ao semestre fechado, de todos os pagamentos ocorridos referentes ao semestre, para posterior lançamento e transmissão do arquivo SisOCP;</w:t>
      </w:r>
    </w:p>
    <w:p w14:paraId="14026F4B" w14:textId="77777777" w:rsidR="003372A0" w:rsidRPr="00EF7812" w:rsidRDefault="003372A0" w:rsidP="003372A0">
      <w:pPr>
        <w:ind w:left="786"/>
        <w:jc w:val="both"/>
        <w:rPr>
          <w:rFonts w:ascii="Century Gothic" w:hAnsi="Century Gothic"/>
        </w:rPr>
      </w:pPr>
    </w:p>
    <w:p w14:paraId="3C745ED9"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Lançamento de todos os pagamentos de notas fiscais no sistema AUDESP referente a processos cujo valor contratado seja superior a R$ 650.000,00, em até 10 dias após o efetivo pagamento (Comunicado SDG 040/2018) caso esteja inserido os dados da Nota Fiscal no sistema Audesp;</w:t>
      </w:r>
    </w:p>
    <w:p w14:paraId="57677310" w14:textId="77777777" w:rsidR="003372A0" w:rsidRPr="00EF7812" w:rsidRDefault="003372A0" w:rsidP="003372A0">
      <w:pPr>
        <w:pStyle w:val="PargrafodaLista"/>
        <w:jc w:val="both"/>
        <w:rPr>
          <w:rFonts w:ascii="Century Gothic" w:hAnsi="Century Gothic"/>
        </w:rPr>
      </w:pPr>
    </w:p>
    <w:p w14:paraId="36B60A8C" w14:textId="77777777" w:rsidR="003372A0" w:rsidRPr="00F02464" w:rsidRDefault="003372A0" w:rsidP="003372A0">
      <w:pPr>
        <w:ind w:left="786"/>
        <w:jc w:val="both"/>
        <w:rPr>
          <w:rFonts w:ascii="Century Gothic" w:hAnsi="Century Gothic"/>
          <w:b/>
        </w:rPr>
      </w:pPr>
      <w:r>
        <w:rPr>
          <w:rFonts w:ascii="Century Gothic" w:hAnsi="Century Gothic"/>
          <w:b/>
        </w:rPr>
        <w:t xml:space="preserve">Processos referentes à </w:t>
      </w:r>
      <w:r w:rsidRPr="00F02464">
        <w:rPr>
          <w:rFonts w:ascii="Century Gothic" w:hAnsi="Century Gothic"/>
          <w:b/>
        </w:rPr>
        <w:t>Convênios</w:t>
      </w:r>
      <w:r>
        <w:rPr>
          <w:rFonts w:ascii="Century Gothic" w:hAnsi="Century Gothic"/>
          <w:b/>
        </w:rPr>
        <w:t xml:space="preserve"> Federais ou Estaduais</w:t>
      </w:r>
    </w:p>
    <w:p w14:paraId="00BF7F9E" w14:textId="77777777" w:rsidR="003372A0" w:rsidRPr="00EF7812" w:rsidRDefault="003372A0" w:rsidP="003372A0">
      <w:pPr>
        <w:ind w:left="786"/>
        <w:jc w:val="both"/>
        <w:rPr>
          <w:rFonts w:ascii="Century Gothic" w:hAnsi="Century Gothic"/>
        </w:rPr>
      </w:pPr>
    </w:p>
    <w:p w14:paraId="4D8F934F" w14:textId="77777777" w:rsidR="003372A0" w:rsidRDefault="003372A0" w:rsidP="003372A0">
      <w:pPr>
        <w:numPr>
          <w:ilvl w:val="0"/>
          <w:numId w:val="12"/>
        </w:numPr>
        <w:spacing w:after="0"/>
        <w:jc w:val="both"/>
        <w:rPr>
          <w:rFonts w:ascii="Century Gothic" w:hAnsi="Century Gothic"/>
        </w:rPr>
      </w:pPr>
      <w:r w:rsidRPr="00EF7812">
        <w:rPr>
          <w:rFonts w:ascii="Century Gothic" w:hAnsi="Century Gothic"/>
        </w:rPr>
        <w:t xml:space="preserve">  Abre</w:t>
      </w:r>
      <w:r>
        <w:rPr>
          <w:rFonts w:ascii="Century Gothic" w:hAnsi="Century Gothic"/>
        </w:rPr>
        <w:t>-se</w:t>
      </w:r>
      <w:r w:rsidRPr="00EF7812">
        <w:rPr>
          <w:rFonts w:ascii="Century Gothic" w:hAnsi="Century Gothic"/>
        </w:rPr>
        <w:t xml:space="preserve"> </w:t>
      </w:r>
      <w:r>
        <w:rPr>
          <w:rFonts w:ascii="Century Gothic" w:hAnsi="Century Gothic"/>
        </w:rPr>
        <w:t>uma capa de processo</w:t>
      </w:r>
      <w:r w:rsidRPr="00EF7812">
        <w:rPr>
          <w:rFonts w:ascii="Century Gothic" w:hAnsi="Century Gothic"/>
        </w:rPr>
        <w:t xml:space="preserve"> para guardar todos os documentos relativos ao convênio;</w:t>
      </w:r>
    </w:p>
    <w:p w14:paraId="18131F69" w14:textId="77777777" w:rsidR="003372A0" w:rsidRPr="00EF7812" w:rsidRDefault="003372A0" w:rsidP="003372A0">
      <w:pPr>
        <w:spacing w:after="0"/>
        <w:ind w:left="786"/>
        <w:jc w:val="both"/>
        <w:rPr>
          <w:rFonts w:ascii="Century Gothic" w:hAnsi="Century Gothic"/>
        </w:rPr>
      </w:pPr>
    </w:p>
    <w:p w14:paraId="30A8B8B1"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Abertura de Conta bancária para depósito do valor do repasse e da contrapartida;</w:t>
      </w:r>
    </w:p>
    <w:p w14:paraId="53C224F5" w14:textId="77777777" w:rsidR="003372A0" w:rsidRPr="00EF7812" w:rsidRDefault="003372A0" w:rsidP="003372A0">
      <w:pPr>
        <w:ind w:left="786"/>
        <w:jc w:val="both"/>
        <w:rPr>
          <w:rFonts w:ascii="Century Gothic" w:hAnsi="Century Gothic"/>
        </w:rPr>
      </w:pPr>
    </w:p>
    <w:p w14:paraId="5A10AFDB"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 xml:space="preserve"> Solicitar à Secretaria da Fazenda para a criação de item de receita (c/c, poupança e renda fixa) específico para aquele convênio;</w:t>
      </w:r>
    </w:p>
    <w:p w14:paraId="4D375121" w14:textId="77777777" w:rsidR="003372A0" w:rsidRPr="00EF7812" w:rsidRDefault="003372A0" w:rsidP="003372A0">
      <w:pPr>
        <w:ind w:left="786"/>
        <w:jc w:val="both"/>
        <w:rPr>
          <w:rFonts w:ascii="Century Gothic" w:hAnsi="Century Gothic"/>
        </w:rPr>
      </w:pPr>
    </w:p>
    <w:p w14:paraId="5E304065"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Após sair a Portaria CAF encaminhar à Secretaria da Fazenda SIR (Excesso de Arrecadação) do valor do repasse e da contrapartida;</w:t>
      </w:r>
    </w:p>
    <w:p w14:paraId="7C23419F" w14:textId="77777777" w:rsidR="003372A0" w:rsidRPr="00EF7812" w:rsidRDefault="003372A0" w:rsidP="003372A0">
      <w:pPr>
        <w:ind w:left="786"/>
        <w:jc w:val="both"/>
        <w:rPr>
          <w:rFonts w:ascii="Century Gothic" w:hAnsi="Century Gothic"/>
        </w:rPr>
      </w:pPr>
    </w:p>
    <w:p w14:paraId="6F997648"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Solicitar à Secretaria da Fazenda a inclusão no CONUG das contas referente (repasse, contrapartida e tributos);</w:t>
      </w:r>
    </w:p>
    <w:p w14:paraId="6D5B9C5E" w14:textId="77777777" w:rsidR="003372A0" w:rsidRPr="00EF7812" w:rsidRDefault="003372A0" w:rsidP="003372A0">
      <w:pPr>
        <w:ind w:left="786"/>
        <w:jc w:val="both"/>
        <w:rPr>
          <w:rFonts w:ascii="Century Gothic" w:hAnsi="Century Gothic"/>
        </w:rPr>
      </w:pPr>
    </w:p>
    <w:p w14:paraId="6E8AB7DC"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 xml:space="preserve"> Cadastro/Inclusão de credor no SICONV:</w:t>
      </w:r>
    </w:p>
    <w:p w14:paraId="5ABC5A8C" w14:textId="77777777" w:rsidR="003372A0" w:rsidRPr="00EF7812" w:rsidRDefault="00966CB0" w:rsidP="003372A0">
      <w:pPr>
        <w:numPr>
          <w:ilvl w:val="0"/>
          <w:numId w:val="13"/>
        </w:numPr>
        <w:shd w:val="clear" w:color="auto" w:fill="FFFFFF"/>
        <w:spacing w:before="100" w:beforeAutospacing="1" w:after="100" w:afterAutospacing="1"/>
        <w:ind w:right="150" w:firstLine="207"/>
        <w:jc w:val="both"/>
        <w:rPr>
          <w:rFonts w:ascii="Century Gothic" w:hAnsi="Century Gothic"/>
        </w:rPr>
      </w:pPr>
      <w:hyperlink r:id="rId11" w:history="1">
        <w:r w:rsidR="003372A0" w:rsidRPr="00EF7812">
          <w:rPr>
            <w:rFonts w:ascii="Century Gothic" w:hAnsi="Century Gothic"/>
          </w:rPr>
          <w:t>Autorizar Movimentação Financeira</w:t>
        </w:r>
      </w:hyperlink>
      <w:r w:rsidR="003372A0" w:rsidRPr="00EF7812">
        <w:rPr>
          <w:rFonts w:ascii="Century Gothic" w:hAnsi="Century Gothic"/>
        </w:rPr>
        <w:t>,</w:t>
      </w:r>
    </w:p>
    <w:p w14:paraId="06EA8ECB" w14:textId="77777777" w:rsidR="003372A0" w:rsidRPr="00EF7812" w:rsidRDefault="00966CB0" w:rsidP="003372A0">
      <w:pPr>
        <w:numPr>
          <w:ilvl w:val="0"/>
          <w:numId w:val="13"/>
        </w:numPr>
        <w:shd w:val="clear" w:color="auto" w:fill="FFFFFF"/>
        <w:spacing w:before="100" w:beforeAutospacing="1" w:after="100" w:afterAutospacing="1"/>
        <w:ind w:right="150" w:firstLine="207"/>
        <w:jc w:val="both"/>
        <w:rPr>
          <w:rFonts w:ascii="Century Gothic" w:hAnsi="Century Gothic"/>
        </w:rPr>
      </w:pPr>
      <w:hyperlink r:id="rId12" w:history="1">
        <w:r w:rsidR="003372A0" w:rsidRPr="00EF7812">
          <w:rPr>
            <w:rFonts w:ascii="Century Gothic" w:hAnsi="Century Gothic"/>
          </w:rPr>
          <w:t>Cadastrar Credor da Transferência Voluntária</w:t>
        </w:r>
      </w:hyperlink>
      <w:r w:rsidR="003372A0" w:rsidRPr="00EF7812">
        <w:rPr>
          <w:rFonts w:ascii="Century Gothic" w:hAnsi="Century Gothic"/>
        </w:rPr>
        <w:t>,</w:t>
      </w:r>
    </w:p>
    <w:p w14:paraId="6F74C4BB" w14:textId="77777777" w:rsidR="003372A0" w:rsidRPr="00EF7812" w:rsidRDefault="00966CB0" w:rsidP="003372A0">
      <w:pPr>
        <w:numPr>
          <w:ilvl w:val="0"/>
          <w:numId w:val="13"/>
        </w:numPr>
        <w:shd w:val="clear" w:color="auto" w:fill="FFFFFF"/>
        <w:spacing w:before="100" w:beforeAutospacing="1" w:after="100" w:afterAutospacing="1"/>
        <w:ind w:right="150" w:firstLine="207"/>
        <w:jc w:val="both"/>
        <w:rPr>
          <w:rFonts w:ascii="Century Gothic" w:hAnsi="Century Gothic"/>
        </w:rPr>
      </w:pPr>
      <w:hyperlink r:id="rId13" w:history="1">
        <w:r w:rsidR="003372A0" w:rsidRPr="00EF7812">
          <w:rPr>
            <w:rFonts w:ascii="Century Gothic" w:hAnsi="Century Gothic"/>
          </w:rPr>
          <w:t>Cancelar Movimentação Financeira</w:t>
        </w:r>
      </w:hyperlink>
      <w:r w:rsidR="003372A0" w:rsidRPr="00EF7812">
        <w:rPr>
          <w:rFonts w:ascii="Century Gothic" w:hAnsi="Century Gothic"/>
        </w:rPr>
        <w:t>,</w:t>
      </w:r>
    </w:p>
    <w:p w14:paraId="6DAC229B" w14:textId="77777777" w:rsidR="003372A0" w:rsidRPr="00EF7812" w:rsidRDefault="00966CB0" w:rsidP="003372A0">
      <w:pPr>
        <w:numPr>
          <w:ilvl w:val="0"/>
          <w:numId w:val="13"/>
        </w:numPr>
        <w:shd w:val="clear" w:color="auto" w:fill="FFFFFF"/>
        <w:spacing w:before="100" w:beforeAutospacing="1" w:after="100" w:afterAutospacing="1"/>
        <w:ind w:right="150" w:firstLine="207"/>
        <w:jc w:val="both"/>
        <w:rPr>
          <w:rFonts w:ascii="Century Gothic" w:hAnsi="Century Gothic"/>
        </w:rPr>
      </w:pPr>
      <w:hyperlink r:id="rId14" w:history="1">
        <w:r w:rsidR="003372A0" w:rsidRPr="00EF7812">
          <w:rPr>
            <w:rFonts w:ascii="Century Gothic" w:hAnsi="Century Gothic"/>
          </w:rPr>
          <w:t>Classificar Ingresso de Recursos</w:t>
        </w:r>
      </w:hyperlink>
      <w:r w:rsidR="003372A0" w:rsidRPr="00EF7812">
        <w:rPr>
          <w:rFonts w:ascii="Century Gothic" w:hAnsi="Century Gothic"/>
        </w:rPr>
        <w:t>,</w:t>
      </w:r>
    </w:p>
    <w:p w14:paraId="7FB88B11" w14:textId="77777777" w:rsidR="003372A0" w:rsidRPr="00EF7812" w:rsidRDefault="00966CB0" w:rsidP="003372A0">
      <w:pPr>
        <w:numPr>
          <w:ilvl w:val="0"/>
          <w:numId w:val="13"/>
        </w:numPr>
        <w:shd w:val="clear" w:color="auto" w:fill="FFFFFF"/>
        <w:spacing w:before="100" w:beforeAutospacing="1" w:after="100" w:afterAutospacing="1"/>
        <w:ind w:right="150" w:firstLine="207"/>
        <w:jc w:val="both"/>
        <w:rPr>
          <w:rFonts w:ascii="Century Gothic" w:hAnsi="Century Gothic"/>
        </w:rPr>
      </w:pPr>
      <w:hyperlink r:id="rId15" w:history="1">
        <w:r w:rsidR="003372A0" w:rsidRPr="00EF7812">
          <w:rPr>
            <w:rFonts w:ascii="Century Gothic" w:hAnsi="Century Gothic"/>
          </w:rPr>
          <w:t>Complementar Dados de Câmbio do Documento de Liquidação</w:t>
        </w:r>
      </w:hyperlink>
      <w:r w:rsidR="003372A0" w:rsidRPr="00EF7812">
        <w:rPr>
          <w:rFonts w:ascii="Century Gothic" w:hAnsi="Century Gothic"/>
        </w:rPr>
        <w:t>,</w:t>
      </w:r>
    </w:p>
    <w:p w14:paraId="65BC07A1" w14:textId="77777777" w:rsidR="003372A0" w:rsidRPr="00EF7812" w:rsidRDefault="00966CB0" w:rsidP="003372A0">
      <w:pPr>
        <w:numPr>
          <w:ilvl w:val="0"/>
          <w:numId w:val="13"/>
        </w:numPr>
        <w:shd w:val="clear" w:color="auto" w:fill="FFFFFF"/>
        <w:spacing w:before="100" w:beforeAutospacing="1" w:after="100" w:afterAutospacing="1"/>
        <w:ind w:right="150" w:firstLine="207"/>
        <w:jc w:val="both"/>
        <w:rPr>
          <w:rFonts w:ascii="Century Gothic" w:hAnsi="Century Gothic"/>
        </w:rPr>
      </w:pPr>
      <w:hyperlink r:id="rId16" w:history="1">
        <w:r w:rsidR="003372A0" w:rsidRPr="00EF7812">
          <w:rPr>
            <w:rFonts w:ascii="Century Gothic" w:hAnsi="Century Gothic"/>
          </w:rPr>
          <w:t>Conciliação Bancária</w:t>
        </w:r>
      </w:hyperlink>
      <w:r w:rsidR="003372A0" w:rsidRPr="00EF7812">
        <w:rPr>
          <w:rFonts w:ascii="Century Gothic" w:hAnsi="Century Gothic"/>
        </w:rPr>
        <w:t>;</w:t>
      </w:r>
    </w:p>
    <w:p w14:paraId="797DA073"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Salvar mensalmente extrato bancário na pasta do convênio;</w:t>
      </w:r>
    </w:p>
    <w:p w14:paraId="63814A5F" w14:textId="77777777" w:rsidR="003372A0" w:rsidRPr="00EF7812" w:rsidRDefault="003372A0" w:rsidP="003372A0">
      <w:pPr>
        <w:pStyle w:val="PargrafodaLista"/>
        <w:ind w:left="786"/>
        <w:jc w:val="both"/>
        <w:rPr>
          <w:rFonts w:ascii="Century Gothic" w:hAnsi="Century Gothic"/>
        </w:rPr>
      </w:pPr>
      <w:r w:rsidRPr="00EF7812">
        <w:rPr>
          <w:rFonts w:ascii="Century Gothic" w:hAnsi="Century Gothic"/>
        </w:rPr>
        <w:t xml:space="preserve"> </w:t>
      </w:r>
    </w:p>
    <w:p w14:paraId="720EFC3F"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Registro do valor do rendimento do Investimento em Renda Fixa contrapartida fonte 003 e do repasse e fonte 005 (fazer proporção);</w:t>
      </w:r>
    </w:p>
    <w:p w14:paraId="43EFDFA4" w14:textId="77777777" w:rsidR="003372A0" w:rsidRPr="00EF7812" w:rsidRDefault="003372A0" w:rsidP="003372A0">
      <w:pPr>
        <w:pStyle w:val="PargrafodaLista"/>
        <w:ind w:left="786"/>
        <w:jc w:val="both"/>
        <w:rPr>
          <w:rFonts w:ascii="Century Gothic" w:hAnsi="Century Gothic"/>
        </w:rPr>
      </w:pPr>
    </w:p>
    <w:p w14:paraId="64638000"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Transferência via SICONV do valor de renda Fixa para poupança;</w:t>
      </w:r>
    </w:p>
    <w:p w14:paraId="58326FA4" w14:textId="77777777" w:rsidR="003372A0" w:rsidRPr="00EF7812" w:rsidRDefault="003372A0" w:rsidP="003372A0">
      <w:pPr>
        <w:pStyle w:val="PargrafodaLista"/>
        <w:jc w:val="both"/>
        <w:rPr>
          <w:rFonts w:ascii="Century Gothic" w:hAnsi="Century Gothic"/>
        </w:rPr>
      </w:pPr>
    </w:p>
    <w:p w14:paraId="21F1D925" w14:textId="77777777" w:rsidR="003372A0" w:rsidRPr="00EF7812" w:rsidRDefault="003372A0" w:rsidP="003372A0">
      <w:pPr>
        <w:pStyle w:val="PargrafodaLista"/>
        <w:ind w:left="786"/>
        <w:jc w:val="both"/>
        <w:rPr>
          <w:rFonts w:ascii="Century Gothic" w:hAnsi="Century Gothic"/>
        </w:rPr>
      </w:pPr>
    </w:p>
    <w:p w14:paraId="56242FDD"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Todo começo de mês fazer registro do valor do rendimento do Investimento em Renda Fixa ou Poupança referente à contrapartida fonte 003 e do repasse e fonte 005 (fazer proporção);</w:t>
      </w:r>
    </w:p>
    <w:p w14:paraId="454D1FCE" w14:textId="77777777" w:rsidR="003372A0" w:rsidRPr="00EF7812" w:rsidRDefault="003372A0" w:rsidP="003372A0">
      <w:pPr>
        <w:pStyle w:val="PargrafodaLista"/>
        <w:ind w:left="786"/>
        <w:jc w:val="both"/>
        <w:rPr>
          <w:rFonts w:ascii="Century Gothic" w:hAnsi="Century Gothic"/>
        </w:rPr>
      </w:pPr>
    </w:p>
    <w:p w14:paraId="3AC9F89B"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Pagamento via OBTV junto ao Ministério da Justiça com relação à pagamento de empresas cujo recurso financeiro provenha de convênio via SICONV:</w:t>
      </w:r>
    </w:p>
    <w:p w14:paraId="715312D2" w14:textId="77777777" w:rsidR="003372A0" w:rsidRPr="00EF7812" w:rsidRDefault="00966CB0" w:rsidP="003372A0">
      <w:pPr>
        <w:numPr>
          <w:ilvl w:val="0"/>
          <w:numId w:val="14"/>
        </w:numPr>
        <w:shd w:val="clear" w:color="auto" w:fill="FFFFFF"/>
        <w:spacing w:before="100" w:beforeAutospacing="1" w:after="100" w:afterAutospacing="1"/>
        <w:ind w:right="150" w:firstLine="207"/>
        <w:jc w:val="both"/>
        <w:rPr>
          <w:rFonts w:ascii="Century Gothic" w:hAnsi="Century Gothic"/>
        </w:rPr>
      </w:pPr>
      <w:hyperlink r:id="rId17" w:history="1">
        <w:r w:rsidR="003372A0" w:rsidRPr="00EF7812">
          <w:rPr>
            <w:rFonts w:ascii="Century Gothic" w:hAnsi="Century Gothic"/>
          </w:rPr>
          <w:t>Extrato Bancário do Convênio</w:t>
        </w:r>
      </w:hyperlink>
      <w:r w:rsidR="003372A0" w:rsidRPr="00EF7812">
        <w:rPr>
          <w:rFonts w:ascii="Century Gothic" w:hAnsi="Century Gothic"/>
        </w:rPr>
        <w:t>,</w:t>
      </w:r>
    </w:p>
    <w:p w14:paraId="1B05EB31" w14:textId="77777777" w:rsidR="003372A0" w:rsidRPr="00EF7812" w:rsidRDefault="00966CB0" w:rsidP="003372A0">
      <w:pPr>
        <w:numPr>
          <w:ilvl w:val="0"/>
          <w:numId w:val="14"/>
        </w:numPr>
        <w:shd w:val="clear" w:color="auto" w:fill="FFFFFF"/>
        <w:spacing w:before="100" w:beforeAutospacing="1" w:after="100" w:afterAutospacing="1"/>
        <w:ind w:right="150" w:firstLine="207"/>
        <w:jc w:val="both"/>
        <w:rPr>
          <w:rFonts w:ascii="Century Gothic" w:hAnsi="Century Gothic"/>
        </w:rPr>
      </w:pPr>
      <w:hyperlink r:id="rId18" w:history="1">
        <w:r w:rsidR="003372A0" w:rsidRPr="00EF7812">
          <w:rPr>
            <w:rFonts w:ascii="Century Gothic" w:hAnsi="Century Gothic"/>
          </w:rPr>
          <w:t>Incluir Documento de Liquidação</w:t>
        </w:r>
      </w:hyperlink>
      <w:r w:rsidR="003372A0" w:rsidRPr="00EF7812">
        <w:rPr>
          <w:rFonts w:ascii="Century Gothic" w:hAnsi="Century Gothic"/>
        </w:rPr>
        <w:t>,</w:t>
      </w:r>
    </w:p>
    <w:p w14:paraId="4D1C75AA" w14:textId="77777777" w:rsidR="003372A0" w:rsidRPr="00EF7812" w:rsidRDefault="00966CB0" w:rsidP="003372A0">
      <w:pPr>
        <w:numPr>
          <w:ilvl w:val="0"/>
          <w:numId w:val="14"/>
        </w:numPr>
        <w:shd w:val="clear" w:color="auto" w:fill="FFFFFF"/>
        <w:spacing w:before="100" w:beforeAutospacing="1" w:after="100" w:afterAutospacing="1"/>
        <w:ind w:right="150" w:firstLine="207"/>
        <w:jc w:val="both"/>
        <w:rPr>
          <w:rFonts w:ascii="Century Gothic" w:hAnsi="Century Gothic"/>
        </w:rPr>
      </w:pPr>
      <w:hyperlink r:id="rId19" w:history="1">
        <w:r w:rsidR="003372A0" w:rsidRPr="00EF7812">
          <w:rPr>
            <w:rFonts w:ascii="Century Gothic" w:hAnsi="Century Gothic"/>
          </w:rPr>
          <w:t>Listar Movimentações Financeiras</w:t>
        </w:r>
      </w:hyperlink>
      <w:r w:rsidR="003372A0" w:rsidRPr="00EF7812">
        <w:rPr>
          <w:rFonts w:ascii="Century Gothic" w:hAnsi="Century Gothic"/>
        </w:rPr>
        <w:t>,</w:t>
      </w:r>
    </w:p>
    <w:p w14:paraId="57DAE3CE" w14:textId="77777777" w:rsidR="003372A0" w:rsidRPr="00EF7812" w:rsidRDefault="00966CB0" w:rsidP="003372A0">
      <w:pPr>
        <w:numPr>
          <w:ilvl w:val="0"/>
          <w:numId w:val="14"/>
        </w:numPr>
        <w:shd w:val="clear" w:color="auto" w:fill="FFFFFF"/>
        <w:spacing w:before="100" w:beforeAutospacing="1" w:after="100" w:afterAutospacing="1"/>
        <w:ind w:right="150" w:firstLine="207"/>
        <w:jc w:val="both"/>
        <w:rPr>
          <w:rFonts w:ascii="Century Gothic" w:hAnsi="Century Gothic"/>
        </w:rPr>
      </w:pPr>
      <w:hyperlink r:id="rId20" w:history="1">
        <w:r w:rsidR="003372A0" w:rsidRPr="00EF7812">
          <w:rPr>
            <w:rFonts w:ascii="Century Gothic" w:hAnsi="Century Gothic"/>
          </w:rPr>
          <w:t>Ordenador Despesa OBTV</w:t>
        </w:r>
      </w:hyperlink>
      <w:r w:rsidR="003372A0" w:rsidRPr="00EF7812">
        <w:rPr>
          <w:rFonts w:ascii="Century Gothic" w:hAnsi="Century Gothic"/>
        </w:rPr>
        <w:t>,</w:t>
      </w:r>
    </w:p>
    <w:p w14:paraId="03624901" w14:textId="77777777" w:rsidR="003372A0" w:rsidRPr="00EF7812" w:rsidRDefault="00966CB0" w:rsidP="003372A0">
      <w:pPr>
        <w:numPr>
          <w:ilvl w:val="0"/>
          <w:numId w:val="14"/>
        </w:numPr>
        <w:shd w:val="clear" w:color="auto" w:fill="FFFFFF"/>
        <w:spacing w:before="100" w:beforeAutospacing="1" w:after="100" w:afterAutospacing="1"/>
        <w:ind w:right="150" w:firstLine="207"/>
        <w:jc w:val="both"/>
        <w:rPr>
          <w:rFonts w:ascii="Century Gothic" w:hAnsi="Century Gothic"/>
        </w:rPr>
      </w:pPr>
      <w:hyperlink r:id="rId21" w:history="1">
        <w:r w:rsidR="003372A0" w:rsidRPr="00EF7812">
          <w:rPr>
            <w:rFonts w:ascii="Century Gothic" w:hAnsi="Century Gothic"/>
          </w:rPr>
          <w:t>Pagamento</w:t>
        </w:r>
      </w:hyperlink>
      <w:r w:rsidR="003372A0" w:rsidRPr="00EF7812">
        <w:rPr>
          <w:rFonts w:ascii="Century Gothic" w:hAnsi="Century Gothic"/>
        </w:rPr>
        <w:t>,</w:t>
      </w:r>
    </w:p>
    <w:p w14:paraId="6C9765CE" w14:textId="77777777" w:rsidR="003372A0" w:rsidRDefault="00966CB0" w:rsidP="003372A0">
      <w:pPr>
        <w:numPr>
          <w:ilvl w:val="0"/>
          <w:numId w:val="14"/>
        </w:numPr>
        <w:shd w:val="clear" w:color="auto" w:fill="FFFFFF"/>
        <w:spacing w:before="100" w:beforeAutospacing="1" w:after="100" w:afterAutospacing="1"/>
        <w:ind w:right="150" w:firstLine="207"/>
        <w:jc w:val="both"/>
        <w:rPr>
          <w:rFonts w:ascii="Century Gothic" w:hAnsi="Century Gothic"/>
        </w:rPr>
      </w:pPr>
      <w:hyperlink r:id="rId22" w:history="1">
        <w:r w:rsidR="003372A0" w:rsidRPr="00EF7812">
          <w:rPr>
            <w:rFonts w:ascii="Century Gothic" w:hAnsi="Century Gothic"/>
          </w:rPr>
          <w:t>Pagamento com OBTV</w:t>
        </w:r>
      </w:hyperlink>
      <w:r w:rsidR="003372A0" w:rsidRPr="00EF7812">
        <w:rPr>
          <w:rFonts w:ascii="Century Gothic" w:hAnsi="Century Gothic"/>
        </w:rPr>
        <w:t>;</w:t>
      </w:r>
    </w:p>
    <w:p w14:paraId="072983C1" w14:textId="77777777" w:rsidR="003372A0" w:rsidRDefault="003372A0" w:rsidP="003372A0">
      <w:pPr>
        <w:shd w:val="clear" w:color="auto" w:fill="FFFFFF"/>
        <w:spacing w:before="100" w:beforeAutospacing="1" w:after="100" w:afterAutospacing="1"/>
        <w:ind w:left="993" w:right="150"/>
        <w:jc w:val="both"/>
        <w:rPr>
          <w:rFonts w:ascii="Century Gothic" w:hAnsi="Century Gothic"/>
        </w:rPr>
      </w:pPr>
    </w:p>
    <w:p w14:paraId="5EB03696" w14:textId="77777777" w:rsidR="003372A0" w:rsidRPr="00EF7812" w:rsidRDefault="003372A0" w:rsidP="003372A0">
      <w:pPr>
        <w:shd w:val="clear" w:color="auto" w:fill="FFFFFF"/>
        <w:spacing w:before="100" w:beforeAutospacing="1" w:after="100" w:afterAutospacing="1"/>
        <w:ind w:left="993" w:right="150"/>
        <w:jc w:val="both"/>
        <w:rPr>
          <w:rFonts w:ascii="Century Gothic" w:hAnsi="Century Gothic"/>
        </w:rPr>
      </w:pPr>
    </w:p>
    <w:p w14:paraId="292B1087" w14:textId="77777777" w:rsidR="003372A0" w:rsidRPr="00EF7812" w:rsidRDefault="003372A0" w:rsidP="003372A0">
      <w:pPr>
        <w:numPr>
          <w:ilvl w:val="0"/>
          <w:numId w:val="12"/>
        </w:numPr>
        <w:spacing w:after="0"/>
        <w:jc w:val="both"/>
        <w:rPr>
          <w:rFonts w:ascii="Century Gothic" w:hAnsi="Century Gothic"/>
        </w:rPr>
      </w:pPr>
      <w:r w:rsidRPr="00EF7812">
        <w:rPr>
          <w:rFonts w:ascii="Century Gothic" w:hAnsi="Century Gothic"/>
        </w:rPr>
        <w:t>Transferência de valor via SICONV para a conta única do Ministério Público para pagamento de tributos;</w:t>
      </w:r>
    </w:p>
    <w:p w14:paraId="7425E46E" w14:textId="77777777" w:rsidR="003372A0" w:rsidRPr="00EF7812" w:rsidRDefault="00966CB0" w:rsidP="003372A0">
      <w:pPr>
        <w:pStyle w:val="PargrafodaLista"/>
        <w:numPr>
          <w:ilvl w:val="0"/>
          <w:numId w:val="15"/>
        </w:numPr>
        <w:shd w:val="clear" w:color="auto" w:fill="FFFFFF"/>
        <w:spacing w:before="100" w:beforeAutospacing="1" w:after="100" w:afterAutospacing="1"/>
        <w:ind w:right="150"/>
        <w:jc w:val="both"/>
        <w:rPr>
          <w:rFonts w:ascii="Century Gothic" w:hAnsi="Century Gothic"/>
        </w:rPr>
      </w:pPr>
      <w:hyperlink r:id="rId23" w:history="1">
        <w:r w:rsidR="003372A0" w:rsidRPr="00EF7812">
          <w:rPr>
            <w:rFonts w:ascii="Century Gothic" w:hAnsi="Century Gothic"/>
          </w:rPr>
          <w:t>Recolher Tributo com OBTV</w:t>
        </w:r>
      </w:hyperlink>
      <w:r w:rsidR="003372A0" w:rsidRPr="00EF7812">
        <w:rPr>
          <w:rFonts w:ascii="Century Gothic" w:hAnsi="Century Gothic"/>
        </w:rPr>
        <w:t>;</w:t>
      </w:r>
    </w:p>
    <w:p w14:paraId="6CB9448C" w14:textId="77777777" w:rsidR="003372A0" w:rsidRPr="00EF7812" w:rsidRDefault="003372A0" w:rsidP="003372A0">
      <w:pPr>
        <w:pStyle w:val="PargrafodaLista"/>
        <w:shd w:val="clear" w:color="auto" w:fill="FFFFFF"/>
        <w:spacing w:before="100" w:beforeAutospacing="1" w:after="100" w:afterAutospacing="1"/>
        <w:ind w:left="1146" w:right="150"/>
        <w:jc w:val="both"/>
        <w:rPr>
          <w:rFonts w:ascii="Century Gothic" w:hAnsi="Century Gothic"/>
        </w:rPr>
      </w:pPr>
    </w:p>
    <w:p w14:paraId="1A87A0FA" w14:textId="77777777" w:rsidR="003372A0" w:rsidRPr="00EF7812" w:rsidRDefault="003372A0" w:rsidP="003372A0">
      <w:pPr>
        <w:pStyle w:val="PargrafodaLista"/>
        <w:jc w:val="both"/>
        <w:rPr>
          <w:rFonts w:ascii="Century Gothic" w:hAnsi="Century Gothic"/>
        </w:rPr>
      </w:pPr>
    </w:p>
    <w:p w14:paraId="603762DF"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No Siafem Programar Desembolso (PD) a favor do INSS, da prefeitura, ou no caso de IR, para pagamento da DARE à ser recolhido à Secretaria da Fazenda:</w:t>
      </w:r>
    </w:p>
    <w:p w14:paraId="47D8ECDD" w14:textId="77777777" w:rsidR="003372A0" w:rsidRPr="00EF7812" w:rsidRDefault="003372A0" w:rsidP="003372A0">
      <w:pPr>
        <w:pStyle w:val="PargrafodaLista"/>
        <w:jc w:val="both"/>
        <w:rPr>
          <w:rFonts w:ascii="Century Gothic" w:hAnsi="Century Gothic"/>
        </w:rPr>
      </w:pPr>
    </w:p>
    <w:p w14:paraId="6803AAAE" w14:textId="77777777" w:rsidR="003372A0" w:rsidRPr="00EF7812" w:rsidRDefault="003372A0" w:rsidP="003372A0">
      <w:pPr>
        <w:pStyle w:val="PargrafodaLista"/>
        <w:numPr>
          <w:ilvl w:val="2"/>
          <w:numId w:val="16"/>
        </w:numPr>
        <w:spacing w:after="0"/>
        <w:ind w:left="1134" w:firstLine="0"/>
        <w:jc w:val="both"/>
        <w:rPr>
          <w:rFonts w:ascii="Century Gothic" w:hAnsi="Century Gothic"/>
        </w:rPr>
      </w:pPr>
      <w:r w:rsidRPr="00EF7812">
        <w:rPr>
          <w:rFonts w:ascii="Century Gothic" w:hAnsi="Century Gothic"/>
        </w:rPr>
        <w:t>Emitir DARE, Guia de INSS ou ISSQN conforme o caso,</w:t>
      </w:r>
    </w:p>
    <w:p w14:paraId="6FB7D197" w14:textId="77777777" w:rsidR="003372A0" w:rsidRPr="00EF7812" w:rsidRDefault="003372A0" w:rsidP="003372A0">
      <w:pPr>
        <w:pStyle w:val="PargrafodaLista"/>
        <w:ind w:left="1134"/>
        <w:jc w:val="both"/>
        <w:rPr>
          <w:rFonts w:ascii="Century Gothic" w:hAnsi="Century Gothic"/>
        </w:rPr>
      </w:pPr>
    </w:p>
    <w:p w14:paraId="79F07BC6" w14:textId="77777777" w:rsidR="003372A0" w:rsidRPr="00EF7812" w:rsidRDefault="003372A0" w:rsidP="003372A0">
      <w:pPr>
        <w:pStyle w:val="PargrafodaLista"/>
        <w:numPr>
          <w:ilvl w:val="2"/>
          <w:numId w:val="16"/>
        </w:numPr>
        <w:spacing w:after="0"/>
        <w:ind w:left="1134" w:firstLine="0"/>
        <w:jc w:val="both"/>
        <w:rPr>
          <w:rFonts w:ascii="Century Gothic" w:hAnsi="Century Gothic"/>
        </w:rPr>
      </w:pPr>
      <w:r w:rsidRPr="00EF7812">
        <w:rPr>
          <w:rFonts w:ascii="Century Gothic" w:hAnsi="Century Gothic"/>
        </w:rPr>
        <w:t>Entrega do documento de recolhimento do tributo à subárea de Pagamentos para envio ao banco no dia do pagamento,</w:t>
      </w:r>
    </w:p>
    <w:p w14:paraId="19C946C1" w14:textId="77777777" w:rsidR="003372A0" w:rsidRPr="00EF7812" w:rsidRDefault="003372A0" w:rsidP="003372A0">
      <w:pPr>
        <w:pStyle w:val="PargrafodaLista"/>
        <w:rPr>
          <w:rFonts w:ascii="Century Gothic" w:hAnsi="Century Gothic"/>
        </w:rPr>
      </w:pPr>
    </w:p>
    <w:p w14:paraId="59AC1C46" w14:textId="77777777" w:rsidR="003372A0" w:rsidRPr="00EF7812" w:rsidRDefault="003372A0" w:rsidP="003372A0">
      <w:pPr>
        <w:pStyle w:val="PargrafodaLista"/>
        <w:numPr>
          <w:ilvl w:val="2"/>
          <w:numId w:val="16"/>
        </w:numPr>
        <w:spacing w:after="0"/>
        <w:ind w:left="1134" w:firstLine="0"/>
        <w:jc w:val="both"/>
        <w:rPr>
          <w:rFonts w:ascii="Century Gothic" w:hAnsi="Century Gothic"/>
        </w:rPr>
      </w:pPr>
      <w:r w:rsidRPr="00EF7812">
        <w:rPr>
          <w:rFonts w:ascii="Century Gothic" w:hAnsi="Century Gothic"/>
        </w:rPr>
        <w:t>Anexar comprovante no SICONV;</w:t>
      </w:r>
    </w:p>
    <w:p w14:paraId="3AC5922E" w14:textId="77777777" w:rsidR="003372A0" w:rsidRPr="00EF7812" w:rsidRDefault="003372A0" w:rsidP="003372A0">
      <w:pPr>
        <w:ind w:left="1134"/>
        <w:jc w:val="both"/>
        <w:rPr>
          <w:rFonts w:ascii="Century Gothic" w:hAnsi="Century Gothic"/>
        </w:rPr>
      </w:pPr>
    </w:p>
    <w:p w14:paraId="4885C601"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Prestação de contas junto ao Ministério da Justiça com relação à prestação de contas de convênio via SICONV;</w:t>
      </w:r>
    </w:p>
    <w:p w14:paraId="4F09DF4A" w14:textId="77777777" w:rsidR="003372A0" w:rsidRPr="00EF7812" w:rsidRDefault="003372A0" w:rsidP="003372A0">
      <w:pPr>
        <w:pStyle w:val="PargrafodaLista"/>
        <w:ind w:left="786"/>
        <w:jc w:val="both"/>
        <w:rPr>
          <w:rFonts w:ascii="Century Gothic" w:hAnsi="Century Gothic"/>
        </w:rPr>
      </w:pPr>
    </w:p>
    <w:p w14:paraId="48C80C4C" w14:textId="77777777" w:rsidR="003372A0" w:rsidRPr="00EF7812" w:rsidRDefault="003372A0" w:rsidP="003372A0">
      <w:pPr>
        <w:pStyle w:val="PargrafodaLista"/>
        <w:numPr>
          <w:ilvl w:val="0"/>
          <w:numId w:val="12"/>
        </w:numPr>
        <w:spacing w:after="0"/>
        <w:jc w:val="both"/>
        <w:rPr>
          <w:rFonts w:ascii="Century Gothic" w:hAnsi="Century Gothic"/>
        </w:rPr>
      </w:pPr>
      <w:r w:rsidRPr="00EF7812">
        <w:rPr>
          <w:rFonts w:ascii="Century Gothic" w:hAnsi="Century Gothic"/>
        </w:rPr>
        <w:t xml:space="preserve"> Levantamento se há recurso a devolver ao Convenente;</w:t>
      </w:r>
    </w:p>
    <w:p w14:paraId="3D8CA776" w14:textId="77777777" w:rsidR="003372A0" w:rsidRPr="00EF7812" w:rsidRDefault="003372A0" w:rsidP="003372A0">
      <w:pPr>
        <w:jc w:val="both"/>
        <w:rPr>
          <w:rFonts w:ascii="Century Gothic" w:hAnsi="Century Gothic"/>
        </w:rPr>
      </w:pPr>
    </w:p>
    <w:p w14:paraId="58012A44" w14:textId="77777777" w:rsidR="003372A0" w:rsidRDefault="003372A0" w:rsidP="003372A0">
      <w:pPr>
        <w:numPr>
          <w:ilvl w:val="0"/>
          <w:numId w:val="12"/>
        </w:numPr>
        <w:spacing w:after="0"/>
        <w:jc w:val="both"/>
        <w:rPr>
          <w:rFonts w:ascii="Century Gothic" w:hAnsi="Century Gothic"/>
        </w:rPr>
      </w:pPr>
      <w:r w:rsidRPr="00EF7812">
        <w:rPr>
          <w:rFonts w:ascii="Century Gothic" w:hAnsi="Century Gothic"/>
        </w:rPr>
        <w:t>Devolução via OBTV junto ao Ministério da Justiça com relação à prestação de contas de convênio via SICONV.</w:t>
      </w:r>
    </w:p>
    <w:p w14:paraId="3FBF48B9" w14:textId="77777777" w:rsidR="003372A0" w:rsidRDefault="003372A0" w:rsidP="003372A0">
      <w:pPr>
        <w:pStyle w:val="PargrafodaLista"/>
        <w:rPr>
          <w:rFonts w:ascii="Century Gothic" w:hAnsi="Century Gothic"/>
        </w:rPr>
      </w:pPr>
    </w:p>
    <w:p w14:paraId="2855A8C4" w14:textId="77777777" w:rsidR="003372A0" w:rsidRDefault="003372A0" w:rsidP="003372A0">
      <w:pPr>
        <w:spacing w:after="0"/>
        <w:ind w:firstLine="1418"/>
        <w:jc w:val="both"/>
        <w:rPr>
          <w:rFonts w:ascii="Century Gothic" w:hAnsi="Century Gothic"/>
        </w:rPr>
      </w:pPr>
      <w:r w:rsidRPr="00EF7812">
        <w:rPr>
          <w:rFonts w:ascii="Century Gothic" w:hAnsi="Century Gothic"/>
        </w:rPr>
        <w:t>O produto das atividades</w:t>
      </w:r>
      <w:r>
        <w:rPr>
          <w:rFonts w:ascii="Century Gothic" w:hAnsi="Century Gothic"/>
        </w:rPr>
        <w:t xml:space="preserve">, </w:t>
      </w:r>
      <w:r w:rsidRPr="00EF7812">
        <w:rPr>
          <w:rFonts w:ascii="Century Gothic" w:hAnsi="Century Gothic"/>
        </w:rPr>
        <w:t>acima elencadas</w:t>
      </w:r>
      <w:r>
        <w:rPr>
          <w:rFonts w:ascii="Century Gothic" w:hAnsi="Century Gothic"/>
        </w:rPr>
        <w:t>,</w:t>
      </w:r>
      <w:r w:rsidRPr="00EF7812">
        <w:rPr>
          <w:rFonts w:ascii="Century Gothic" w:hAnsi="Century Gothic"/>
        </w:rPr>
        <w:t xml:space="preserve"> </w:t>
      </w:r>
      <w:r>
        <w:rPr>
          <w:rFonts w:ascii="Century Gothic" w:hAnsi="Century Gothic"/>
        </w:rPr>
        <w:t>realizadas no ano de 2018</w:t>
      </w:r>
      <w:r w:rsidRPr="00EF7812">
        <w:rPr>
          <w:rFonts w:ascii="Century Gothic" w:hAnsi="Century Gothic"/>
        </w:rPr>
        <w:t xml:space="preserve"> em termos de valores </w:t>
      </w:r>
      <w:r>
        <w:rPr>
          <w:rFonts w:ascii="Century Gothic" w:hAnsi="Century Gothic"/>
        </w:rPr>
        <w:t>pagamentos realizados que foram regist</w:t>
      </w:r>
      <w:r w:rsidRPr="00EF7812">
        <w:rPr>
          <w:rFonts w:ascii="Century Gothic" w:hAnsi="Century Gothic"/>
        </w:rPr>
        <w:t>rados e contabilizados no SIAFEM, no montante</w:t>
      </w:r>
      <w:r>
        <w:rPr>
          <w:rFonts w:ascii="Century Gothic" w:hAnsi="Century Gothic"/>
        </w:rPr>
        <w:t xml:space="preserve"> R$ </w:t>
      </w:r>
      <w:r w:rsidRPr="00536A8C">
        <w:rPr>
          <w:rFonts w:ascii="Century Gothic" w:hAnsi="Century Gothic"/>
        </w:rPr>
        <w:t>150.805.235,12</w:t>
      </w:r>
      <w:r>
        <w:rPr>
          <w:rFonts w:ascii="Century Gothic" w:hAnsi="Century Gothic"/>
        </w:rPr>
        <w:t xml:space="preserve"> sendo:</w:t>
      </w:r>
    </w:p>
    <w:p w14:paraId="79382C95" w14:textId="77777777" w:rsidR="003372A0" w:rsidRDefault="003372A0" w:rsidP="003372A0">
      <w:pPr>
        <w:spacing w:after="0"/>
        <w:ind w:firstLine="1418"/>
        <w:jc w:val="both"/>
        <w:rPr>
          <w:rFonts w:ascii="Century Gothic" w:hAnsi="Century Gothic"/>
        </w:rPr>
      </w:pPr>
    </w:p>
    <w:p w14:paraId="7B1357F8" w14:textId="77777777" w:rsidR="003372A0" w:rsidRDefault="003372A0" w:rsidP="003372A0">
      <w:pPr>
        <w:spacing w:after="0"/>
        <w:ind w:firstLine="1418"/>
        <w:jc w:val="both"/>
        <w:rPr>
          <w:rFonts w:ascii="Century Gothic" w:hAnsi="Century Gothic"/>
        </w:rPr>
      </w:pPr>
    </w:p>
    <w:tbl>
      <w:tblPr>
        <w:tblStyle w:val="Tabelacomgrad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51"/>
      </w:tblGrid>
      <w:tr w:rsidR="003372A0" w14:paraId="451073B4" w14:textId="77777777" w:rsidTr="00966CB0">
        <w:tc>
          <w:tcPr>
            <w:tcW w:w="3402" w:type="dxa"/>
          </w:tcPr>
          <w:p w14:paraId="3022D170" w14:textId="77777777" w:rsidR="003372A0" w:rsidRDefault="003372A0" w:rsidP="00966CB0">
            <w:pPr>
              <w:ind w:left="-1127" w:firstLine="1127"/>
              <w:jc w:val="both"/>
              <w:rPr>
                <w:rFonts w:ascii="Century Gothic" w:hAnsi="Century Gothic"/>
              </w:rPr>
            </w:pPr>
            <w:r>
              <w:rPr>
                <w:rFonts w:ascii="Century Gothic" w:hAnsi="Century Gothic"/>
              </w:rPr>
              <w:t xml:space="preserve">UG 270030 o montante de </w:t>
            </w:r>
          </w:p>
        </w:tc>
        <w:tc>
          <w:tcPr>
            <w:tcW w:w="2551" w:type="dxa"/>
          </w:tcPr>
          <w:p w14:paraId="42C97168" w14:textId="77777777" w:rsidR="003372A0" w:rsidRDefault="003372A0" w:rsidP="00966CB0">
            <w:pPr>
              <w:ind w:left="-1127" w:firstLine="1127"/>
              <w:jc w:val="right"/>
              <w:rPr>
                <w:rFonts w:ascii="Century Gothic" w:hAnsi="Century Gothic"/>
              </w:rPr>
            </w:pPr>
            <w:r>
              <w:rPr>
                <w:rFonts w:ascii="Century Gothic" w:hAnsi="Century Gothic"/>
              </w:rPr>
              <w:t>R$      1.735.414,38</w:t>
            </w:r>
          </w:p>
        </w:tc>
      </w:tr>
      <w:tr w:rsidR="003372A0" w14:paraId="336F9A94" w14:textId="77777777" w:rsidTr="00966CB0">
        <w:tc>
          <w:tcPr>
            <w:tcW w:w="3402" w:type="dxa"/>
          </w:tcPr>
          <w:p w14:paraId="2333A0D3" w14:textId="77777777" w:rsidR="003372A0" w:rsidRDefault="003372A0" w:rsidP="00966CB0">
            <w:pPr>
              <w:ind w:left="-1127" w:firstLine="1127"/>
              <w:jc w:val="both"/>
              <w:rPr>
                <w:rFonts w:ascii="Century Gothic" w:hAnsi="Century Gothic"/>
              </w:rPr>
            </w:pPr>
            <w:r>
              <w:rPr>
                <w:rFonts w:ascii="Century Gothic" w:hAnsi="Century Gothic"/>
              </w:rPr>
              <w:t>UG 270031 o montante de</w:t>
            </w:r>
          </w:p>
        </w:tc>
        <w:tc>
          <w:tcPr>
            <w:tcW w:w="2551" w:type="dxa"/>
          </w:tcPr>
          <w:p w14:paraId="0EAD8FBA" w14:textId="77777777" w:rsidR="003372A0" w:rsidRDefault="003372A0" w:rsidP="00966CB0">
            <w:pPr>
              <w:ind w:left="-1127" w:firstLine="1127"/>
              <w:jc w:val="right"/>
              <w:rPr>
                <w:rFonts w:ascii="Century Gothic" w:hAnsi="Century Gothic"/>
              </w:rPr>
            </w:pPr>
            <w:r w:rsidRPr="00B92E95">
              <w:rPr>
                <w:rFonts w:ascii="Century Gothic" w:hAnsi="Century Gothic"/>
              </w:rPr>
              <w:t xml:space="preserve"> </w:t>
            </w:r>
            <w:r>
              <w:rPr>
                <w:rFonts w:ascii="Century Gothic" w:hAnsi="Century Gothic"/>
              </w:rPr>
              <w:t>R$      3</w:t>
            </w:r>
            <w:r w:rsidRPr="00B92E95">
              <w:rPr>
                <w:rFonts w:ascii="Century Gothic" w:hAnsi="Century Gothic"/>
              </w:rPr>
              <w:t>.747.085,83</w:t>
            </w:r>
          </w:p>
        </w:tc>
      </w:tr>
      <w:tr w:rsidR="003372A0" w14:paraId="0BA61165" w14:textId="77777777" w:rsidTr="00966CB0">
        <w:tc>
          <w:tcPr>
            <w:tcW w:w="3402" w:type="dxa"/>
          </w:tcPr>
          <w:p w14:paraId="5B89E898" w14:textId="77777777" w:rsidR="003372A0" w:rsidRDefault="003372A0" w:rsidP="00966CB0">
            <w:pPr>
              <w:ind w:left="-1127" w:firstLine="1127"/>
              <w:jc w:val="both"/>
              <w:rPr>
                <w:rFonts w:ascii="Century Gothic" w:hAnsi="Century Gothic"/>
              </w:rPr>
            </w:pPr>
            <w:r>
              <w:rPr>
                <w:rFonts w:ascii="Century Gothic" w:hAnsi="Century Gothic"/>
              </w:rPr>
              <w:t>UG 270033 o montante de</w:t>
            </w:r>
          </w:p>
        </w:tc>
        <w:tc>
          <w:tcPr>
            <w:tcW w:w="2551" w:type="dxa"/>
          </w:tcPr>
          <w:p w14:paraId="54ACFE56" w14:textId="00FF659F" w:rsidR="003372A0" w:rsidRDefault="003372A0" w:rsidP="00966CB0">
            <w:pPr>
              <w:ind w:left="-1127" w:firstLine="1127"/>
              <w:jc w:val="right"/>
              <w:rPr>
                <w:rFonts w:ascii="Century Gothic" w:hAnsi="Century Gothic"/>
              </w:rPr>
            </w:pPr>
            <w:r>
              <w:rPr>
                <w:rFonts w:ascii="Century Gothic" w:hAnsi="Century Gothic"/>
              </w:rPr>
              <w:t xml:space="preserve">R$    </w:t>
            </w:r>
            <w:r w:rsidR="00DD7826">
              <w:rPr>
                <w:rFonts w:ascii="Century Gothic" w:hAnsi="Century Gothic"/>
              </w:rPr>
              <w:t>1</w:t>
            </w:r>
            <w:r w:rsidRPr="00B92E95">
              <w:rPr>
                <w:rFonts w:ascii="Century Gothic" w:hAnsi="Century Gothic"/>
              </w:rPr>
              <w:t>45.322.734,91</w:t>
            </w:r>
          </w:p>
        </w:tc>
      </w:tr>
    </w:tbl>
    <w:p w14:paraId="7CF61599" w14:textId="77777777" w:rsidR="003372A0" w:rsidRDefault="003372A0" w:rsidP="003372A0">
      <w:pPr>
        <w:spacing w:after="0"/>
        <w:ind w:firstLine="1418"/>
        <w:jc w:val="both"/>
        <w:rPr>
          <w:rFonts w:ascii="Century Gothic" w:hAnsi="Century Gothic"/>
        </w:rPr>
      </w:pPr>
    </w:p>
    <w:p w14:paraId="07A77A7C" w14:textId="77777777" w:rsidR="003372A0" w:rsidRDefault="003372A0" w:rsidP="003372A0">
      <w:pPr>
        <w:spacing w:after="0"/>
        <w:ind w:firstLine="1418"/>
        <w:jc w:val="both"/>
        <w:rPr>
          <w:rFonts w:ascii="Century Gothic" w:hAnsi="Century Gothic"/>
        </w:rPr>
      </w:pPr>
    </w:p>
    <w:p w14:paraId="3F1289BD" w14:textId="77777777" w:rsidR="003372A0" w:rsidRDefault="003372A0" w:rsidP="003372A0">
      <w:pPr>
        <w:spacing w:after="0"/>
        <w:ind w:firstLine="1418"/>
        <w:jc w:val="both"/>
        <w:rPr>
          <w:rFonts w:ascii="Century Gothic" w:hAnsi="Century Gothic"/>
        </w:rPr>
      </w:pPr>
    </w:p>
    <w:p w14:paraId="453AF552" w14:textId="77777777" w:rsidR="003372A0" w:rsidRDefault="003372A0" w:rsidP="003372A0">
      <w:pPr>
        <w:spacing w:after="0"/>
        <w:ind w:firstLine="1418"/>
        <w:jc w:val="both"/>
        <w:rPr>
          <w:rFonts w:ascii="Century Gothic" w:hAnsi="Century Gothic"/>
        </w:rPr>
      </w:pPr>
    </w:p>
    <w:p w14:paraId="01E22695" w14:textId="77777777" w:rsidR="003372A0" w:rsidRDefault="003372A0" w:rsidP="003372A0">
      <w:pPr>
        <w:spacing w:after="0"/>
        <w:ind w:firstLine="1418"/>
        <w:jc w:val="both"/>
        <w:rPr>
          <w:rFonts w:ascii="Century Gothic" w:hAnsi="Century Gothic"/>
        </w:rPr>
      </w:pPr>
    </w:p>
    <w:p w14:paraId="5BEEC2CC" w14:textId="77777777" w:rsidR="003372A0" w:rsidRDefault="003372A0" w:rsidP="003372A0">
      <w:pPr>
        <w:spacing w:after="0"/>
        <w:ind w:firstLine="1418"/>
        <w:jc w:val="both"/>
        <w:rPr>
          <w:rFonts w:ascii="Century Gothic" w:hAnsi="Century Gothic"/>
        </w:rPr>
      </w:pPr>
    </w:p>
    <w:p w14:paraId="71B3ED71" w14:textId="77777777" w:rsidR="003372A0" w:rsidRDefault="003372A0" w:rsidP="003372A0">
      <w:pPr>
        <w:spacing w:after="0"/>
        <w:ind w:firstLine="1418"/>
        <w:jc w:val="both"/>
        <w:rPr>
          <w:rFonts w:ascii="Century Gothic" w:hAnsi="Century Gothic"/>
        </w:rPr>
      </w:pPr>
    </w:p>
    <w:p w14:paraId="1EA8F706" w14:textId="77777777" w:rsidR="003372A0" w:rsidRDefault="003372A0" w:rsidP="003372A0">
      <w:pPr>
        <w:spacing w:after="0"/>
        <w:ind w:firstLine="1418"/>
        <w:jc w:val="both"/>
        <w:rPr>
          <w:rFonts w:ascii="Century Gothic" w:hAnsi="Century Gothic"/>
        </w:rPr>
      </w:pPr>
    </w:p>
    <w:p w14:paraId="76D7FF76" w14:textId="77777777" w:rsidR="00EA3DAF" w:rsidRDefault="00EA3DAF" w:rsidP="003372A0">
      <w:pPr>
        <w:spacing w:after="0"/>
        <w:ind w:firstLine="1418"/>
        <w:jc w:val="both"/>
        <w:rPr>
          <w:rFonts w:ascii="Century Gothic" w:hAnsi="Century Gothic"/>
        </w:rPr>
      </w:pPr>
    </w:p>
    <w:p w14:paraId="3FE88087" w14:textId="77777777" w:rsidR="00EA3DAF" w:rsidRDefault="00EA3DAF" w:rsidP="003372A0">
      <w:pPr>
        <w:spacing w:after="0"/>
        <w:ind w:firstLine="1418"/>
        <w:jc w:val="both"/>
        <w:rPr>
          <w:rFonts w:ascii="Century Gothic" w:hAnsi="Century Gothic"/>
        </w:rPr>
      </w:pPr>
    </w:p>
    <w:p w14:paraId="5319551B" w14:textId="31FFDDB0" w:rsidR="003372A0" w:rsidRDefault="003372A0" w:rsidP="003372A0">
      <w:pPr>
        <w:spacing w:after="0"/>
        <w:ind w:firstLine="1418"/>
        <w:jc w:val="both"/>
        <w:rPr>
          <w:rFonts w:ascii="Century Gothic" w:hAnsi="Century Gothic"/>
        </w:rPr>
      </w:pPr>
      <w:r>
        <w:rPr>
          <w:rFonts w:ascii="Century Gothic" w:hAnsi="Century Gothic"/>
        </w:rPr>
        <w:t>Traduzindo estes montantes para quantidade de  pagamentos realizados à credores no ano de 2018, nota-se que houve aumento expressivo se comparado com anos anteriores, relativos aos processos de pagamento, conforme segue:</w:t>
      </w:r>
    </w:p>
    <w:p w14:paraId="53E44B2E" w14:textId="5787BA97" w:rsidR="00EA3DAF" w:rsidRDefault="00EA3DAF" w:rsidP="003372A0">
      <w:pPr>
        <w:spacing w:after="0"/>
        <w:ind w:firstLine="1418"/>
        <w:jc w:val="both"/>
        <w:rPr>
          <w:rFonts w:ascii="Century Gothic" w:hAnsi="Century Gothic"/>
        </w:rPr>
      </w:pPr>
    </w:p>
    <w:p w14:paraId="0D0E0DF9" w14:textId="491336DB" w:rsidR="00D85E93" w:rsidRDefault="00D85E93" w:rsidP="003372A0">
      <w:pPr>
        <w:spacing w:after="0"/>
        <w:ind w:firstLine="1418"/>
        <w:jc w:val="both"/>
        <w:rPr>
          <w:rFonts w:ascii="Century Gothic" w:hAnsi="Century Gothic"/>
        </w:rPr>
      </w:pPr>
    </w:p>
    <w:p w14:paraId="012C3ADE" w14:textId="77777777" w:rsidR="00D85E93" w:rsidRDefault="00D85E93" w:rsidP="003372A0">
      <w:pPr>
        <w:spacing w:after="0"/>
        <w:ind w:firstLine="1418"/>
        <w:jc w:val="both"/>
        <w:rPr>
          <w:rFonts w:ascii="Century Gothic" w:hAnsi="Century Gothic"/>
        </w:rPr>
      </w:pPr>
    </w:p>
    <w:p w14:paraId="1FD9FBE1" w14:textId="7C049152" w:rsidR="00EA3DAF" w:rsidRDefault="00D85E93" w:rsidP="00EA3DAF">
      <w:pPr>
        <w:spacing w:after="0"/>
        <w:ind w:firstLine="426"/>
        <w:jc w:val="center"/>
        <w:rPr>
          <w:rFonts w:ascii="Century Gothic" w:hAnsi="Century Gothic"/>
        </w:rPr>
      </w:pPr>
      <w:r>
        <w:rPr>
          <w:noProof/>
        </w:rPr>
        <w:drawing>
          <wp:inline distT="0" distB="0" distL="0" distR="0" wp14:anchorId="5647E7C8" wp14:editId="48CA8373">
            <wp:extent cx="5136325" cy="5014032"/>
            <wp:effectExtent l="0" t="0" r="762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40120" cy="5017737"/>
                    </a:xfrm>
                    <a:prstGeom prst="rect">
                      <a:avLst/>
                    </a:prstGeom>
                  </pic:spPr>
                </pic:pic>
              </a:graphicData>
            </a:graphic>
          </wp:inline>
        </w:drawing>
      </w:r>
    </w:p>
    <w:p w14:paraId="01328AE7" w14:textId="5DCE08B2" w:rsidR="00DD7826" w:rsidRDefault="00DD7826" w:rsidP="00D85E93">
      <w:pPr>
        <w:spacing w:after="0"/>
        <w:rPr>
          <w:rFonts w:ascii="Century Gothic" w:hAnsi="Century Gothic"/>
        </w:rPr>
      </w:pPr>
    </w:p>
    <w:p w14:paraId="6C5CB5F9" w14:textId="5F6CF632" w:rsidR="00EA3DAF" w:rsidRDefault="00D85E93" w:rsidP="00D85E93">
      <w:pPr>
        <w:spacing w:after="0"/>
        <w:ind w:firstLine="1418"/>
        <w:rPr>
          <w:rFonts w:ascii="Century Gothic" w:hAnsi="Century Gothic"/>
        </w:rPr>
      </w:pPr>
      <w:r>
        <w:rPr>
          <w:rFonts w:ascii="Century Gothic" w:hAnsi="Century Gothic"/>
        </w:rPr>
        <w:t>Observando que está previsto crescimento de quantidade de processos cujos pagamentos serão realizados com recursos próprios para os anos vindouros.</w:t>
      </w:r>
    </w:p>
    <w:p w14:paraId="722DC3CA" w14:textId="71BE26B7" w:rsidR="00D85E93" w:rsidRDefault="00D85E93" w:rsidP="00D85E93">
      <w:pPr>
        <w:spacing w:after="0"/>
        <w:ind w:firstLine="1418"/>
        <w:rPr>
          <w:rFonts w:ascii="Century Gothic" w:hAnsi="Century Gothic"/>
        </w:rPr>
      </w:pPr>
      <w:bookmarkStart w:id="1" w:name="_GoBack"/>
      <w:bookmarkEnd w:id="1"/>
    </w:p>
    <w:p w14:paraId="0A51E5F8" w14:textId="30DD1727" w:rsidR="00EA3DAF" w:rsidRDefault="00EA3DAF" w:rsidP="00DD7826">
      <w:pPr>
        <w:spacing w:after="0"/>
        <w:ind w:firstLine="1418"/>
        <w:jc w:val="center"/>
        <w:rPr>
          <w:rFonts w:ascii="Century Gothic" w:hAnsi="Century Gothic"/>
        </w:rPr>
      </w:pPr>
    </w:p>
    <w:p w14:paraId="2CCDF628" w14:textId="3BEAC4D3" w:rsidR="00EA3DAF" w:rsidRDefault="00EA3DAF" w:rsidP="00DD7826">
      <w:pPr>
        <w:spacing w:after="0"/>
        <w:ind w:firstLine="1418"/>
        <w:jc w:val="center"/>
        <w:rPr>
          <w:rFonts w:ascii="Century Gothic" w:hAnsi="Century Gothic"/>
        </w:rPr>
      </w:pPr>
    </w:p>
    <w:p w14:paraId="388D9A36" w14:textId="62B2F5BF" w:rsidR="00EA3DAF" w:rsidRDefault="00EA3DAF" w:rsidP="00DD7826">
      <w:pPr>
        <w:spacing w:after="0"/>
        <w:ind w:firstLine="1418"/>
        <w:jc w:val="center"/>
        <w:rPr>
          <w:rFonts w:ascii="Century Gothic" w:hAnsi="Century Gothic"/>
        </w:rPr>
      </w:pPr>
    </w:p>
    <w:p w14:paraId="068A7D87" w14:textId="6CB5D2C7" w:rsidR="00EA3DAF" w:rsidRDefault="00EA3DAF" w:rsidP="00DD7826">
      <w:pPr>
        <w:spacing w:after="0"/>
        <w:ind w:firstLine="1418"/>
        <w:jc w:val="center"/>
        <w:rPr>
          <w:rFonts w:ascii="Century Gothic" w:hAnsi="Century Gothic"/>
        </w:rPr>
      </w:pPr>
    </w:p>
    <w:p w14:paraId="1A13540F" w14:textId="311B06E2" w:rsidR="00966CB0" w:rsidRDefault="00966CB0" w:rsidP="003620E0">
      <w:pPr>
        <w:spacing w:after="0"/>
        <w:jc w:val="both"/>
        <w:rPr>
          <w:rFonts w:ascii="Century Gothic" w:hAnsi="Century Gothic"/>
        </w:rPr>
      </w:pPr>
    </w:p>
    <w:p w14:paraId="77CFD601" w14:textId="77777777" w:rsidR="00D85E93" w:rsidRDefault="00D85E93" w:rsidP="003372A0">
      <w:pPr>
        <w:spacing w:after="0"/>
        <w:ind w:firstLine="1418"/>
        <w:jc w:val="both"/>
        <w:rPr>
          <w:rFonts w:ascii="Century Gothic" w:hAnsi="Century Gothic"/>
        </w:rPr>
      </w:pPr>
      <w:bookmarkStart w:id="2" w:name="RANGE!A1:J23"/>
      <w:bookmarkEnd w:id="2"/>
    </w:p>
    <w:p w14:paraId="1AE5EA4D" w14:textId="77777777" w:rsidR="00D85E93" w:rsidRDefault="00D85E93" w:rsidP="003372A0">
      <w:pPr>
        <w:spacing w:after="0"/>
        <w:ind w:firstLine="1418"/>
        <w:jc w:val="both"/>
        <w:rPr>
          <w:rFonts w:ascii="Century Gothic" w:hAnsi="Century Gothic"/>
        </w:rPr>
      </w:pPr>
    </w:p>
    <w:p w14:paraId="331DD259" w14:textId="143A47EC" w:rsidR="003372A0" w:rsidRDefault="003372A0" w:rsidP="003372A0">
      <w:pPr>
        <w:spacing w:after="0"/>
        <w:ind w:firstLine="1418"/>
        <w:jc w:val="both"/>
        <w:rPr>
          <w:rFonts w:ascii="Century Gothic" w:hAnsi="Century Gothic"/>
        </w:rPr>
      </w:pPr>
      <w:r>
        <w:rPr>
          <w:rFonts w:ascii="Century Gothic" w:hAnsi="Century Gothic"/>
        </w:rPr>
        <w:t>Devido em julho de 2015, a UG 270033 ter captado maior recurso financeiro, refletiu nos anos seguintes com expressivo aumento no volume de pagamen</w:t>
      </w:r>
      <w:r w:rsidR="00EA3DAF">
        <w:rPr>
          <w:rFonts w:ascii="Century Gothic" w:hAnsi="Century Gothic"/>
        </w:rPr>
        <w:t>to, conforme demo</w:t>
      </w:r>
      <w:r>
        <w:rPr>
          <w:rFonts w:ascii="Century Gothic" w:hAnsi="Century Gothic"/>
        </w:rPr>
        <w:t>n</w:t>
      </w:r>
      <w:r w:rsidR="00EA3DAF">
        <w:rPr>
          <w:rFonts w:ascii="Century Gothic" w:hAnsi="Century Gothic"/>
        </w:rPr>
        <w:t>s</w:t>
      </w:r>
      <w:r>
        <w:rPr>
          <w:rFonts w:ascii="Century Gothic" w:hAnsi="Century Gothic"/>
        </w:rPr>
        <w:t xml:space="preserve">tra o gráfico abaixo e com perspectiva de que nos anos vindouros cresça mais a demanda desta fonte. </w:t>
      </w:r>
    </w:p>
    <w:p w14:paraId="1A1B7813" w14:textId="631CE146" w:rsidR="003372A0" w:rsidRDefault="003372A0" w:rsidP="00EA3DAF">
      <w:pPr>
        <w:spacing w:after="0"/>
        <w:jc w:val="center"/>
        <w:rPr>
          <w:rFonts w:ascii="Century Gothic" w:hAnsi="Century Gothic"/>
        </w:rPr>
      </w:pPr>
    </w:p>
    <w:p w14:paraId="46E08934" w14:textId="42B96081" w:rsidR="00EA3DAF" w:rsidRDefault="00B35A50" w:rsidP="00EA3DAF">
      <w:pPr>
        <w:spacing w:after="0"/>
        <w:jc w:val="center"/>
        <w:rPr>
          <w:rFonts w:ascii="Century Gothic" w:hAnsi="Century Gothic"/>
        </w:rPr>
      </w:pPr>
      <w:r>
        <w:rPr>
          <w:noProof/>
        </w:rPr>
        <w:drawing>
          <wp:inline distT="0" distB="0" distL="0" distR="0" wp14:anchorId="5CB80004" wp14:editId="59AFE077">
            <wp:extent cx="3969623" cy="4605905"/>
            <wp:effectExtent l="0" t="0" r="0" b="444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986384" cy="4625353"/>
                    </a:xfrm>
                    <a:prstGeom prst="rect">
                      <a:avLst/>
                    </a:prstGeom>
                  </pic:spPr>
                </pic:pic>
              </a:graphicData>
            </a:graphic>
          </wp:inline>
        </w:drawing>
      </w:r>
    </w:p>
    <w:p w14:paraId="2ADA3F47" w14:textId="183D2CE0" w:rsidR="003372A0" w:rsidRDefault="003372A0" w:rsidP="0034718D">
      <w:pPr>
        <w:spacing w:after="0"/>
        <w:jc w:val="center"/>
        <w:rPr>
          <w:rFonts w:ascii="Century Gothic" w:hAnsi="Century Gothic"/>
        </w:rPr>
      </w:pPr>
    </w:p>
    <w:p w14:paraId="43F206B9" w14:textId="77777777" w:rsidR="00EA3DAF" w:rsidRDefault="00EA3DAF" w:rsidP="00886300">
      <w:pPr>
        <w:spacing w:after="0"/>
        <w:ind w:firstLine="1418"/>
        <w:jc w:val="both"/>
        <w:rPr>
          <w:rFonts w:ascii="Century Gothic" w:hAnsi="Century Gothic"/>
        </w:rPr>
      </w:pPr>
    </w:p>
    <w:p w14:paraId="5AEA9EA9" w14:textId="41CF2CAF" w:rsidR="00F03C9D" w:rsidRDefault="003372A0" w:rsidP="00886300">
      <w:pPr>
        <w:spacing w:after="0"/>
        <w:ind w:firstLine="1418"/>
        <w:jc w:val="both"/>
        <w:rPr>
          <w:rFonts w:ascii="Century Gothic" w:hAnsi="Century Gothic"/>
        </w:rPr>
      </w:pPr>
      <w:r>
        <w:rPr>
          <w:rFonts w:ascii="Century Gothic" w:hAnsi="Century Gothic"/>
        </w:rPr>
        <w:t>Diante do exposto, entendemos que com investimento, a subárea tem potencial para contribuir ainda mais com o Ministério Público, principalmente com a recuperação do recurso de emolumentos.</w:t>
      </w:r>
    </w:p>
    <w:p w14:paraId="544F686A" w14:textId="791E615A" w:rsidR="003F5192" w:rsidRDefault="003F5192" w:rsidP="00886300">
      <w:pPr>
        <w:spacing w:after="0"/>
        <w:ind w:firstLine="1418"/>
        <w:jc w:val="both"/>
        <w:rPr>
          <w:rFonts w:ascii="Century Gothic" w:hAnsi="Century Gothic"/>
        </w:rPr>
      </w:pPr>
    </w:p>
    <w:p w14:paraId="1D89C537" w14:textId="34B950C9" w:rsidR="003F5192" w:rsidRDefault="00967F08" w:rsidP="00886300">
      <w:pPr>
        <w:spacing w:after="0"/>
        <w:ind w:firstLine="1418"/>
        <w:jc w:val="both"/>
        <w:rPr>
          <w:rFonts w:ascii="Century Gothic" w:hAnsi="Century Gothic"/>
        </w:rPr>
      </w:pPr>
      <w:r w:rsidRPr="00967F08">
        <w:rPr>
          <w:rFonts w:ascii="Century Gothic" w:hAnsi="Century Gothic"/>
        </w:rPr>
        <w:t>Fundos Especiais</w:t>
      </w:r>
      <w:r>
        <w:rPr>
          <w:rFonts w:ascii="Century Gothic" w:hAnsi="Century Gothic"/>
        </w:rPr>
        <w:t>, 05 de feveiro de 2019.</w:t>
      </w:r>
    </w:p>
    <w:p w14:paraId="445CF920" w14:textId="34056C35" w:rsidR="00967F08" w:rsidRDefault="00967F08" w:rsidP="00886300">
      <w:pPr>
        <w:spacing w:after="0"/>
        <w:ind w:firstLine="1418"/>
        <w:jc w:val="both"/>
        <w:rPr>
          <w:rFonts w:ascii="Century Gothic" w:hAnsi="Century Gothic"/>
        </w:rPr>
      </w:pPr>
    </w:p>
    <w:p w14:paraId="4F150A9D" w14:textId="77777777" w:rsidR="00B35A50" w:rsidRDefault="00B35A50" w:rsidP="00886300">
      <w:pPr>
        <w:spacing w:after="0"/>
        <w:ind w:firstLine="1418"/>
        <w:jc w:val="both"/>
        <w:rPr>
          <w:rFonts w:ascii="Century Gothic" w:hAnsi="Century Gothic"/>
        </w:rPr>
      </w:pPr>
    </w:p>
    <w:p w14:paraId="6362054B" w14:textId="7F0D0248" w:rsidR="00967F08" w:rsidRDefault="00967F08" w:rsidP="00967F08">
      <w:pPr>
        <w:spacing w:after="0"/>
        <w:ind w:right="4252" w:firstLine="1418"/>
        <w:jc w:val="both"/>
        <w:rPr>
          <w:rFonts w:ascii="Century Gothic" w:hAnsi="Century Gothic"/>
        </w:rPr>
      </w:pPr>
      <w:r>
        <w:rPr>
          <w:rFonts w:ascii="Century Gothic" w:hAnsi="Century Gothic"/>
        </w:rPr>
        <w:t xml:space="preserve">           Eliete Torres da Silva Rodrigues</w:t>
      </w:r>
    </w:p>
    <w:p w14:paraId="47D72A7F" w14:textId="54C7C0D7" w:rsidR="00967F08" w:rsidRPr="00967F08" w:rsidRDefault="00967F08" w:rsidP="00967F08">
      <w:pPr>
        <w:spacing w:after="0"/>
        <w:ind w:right="4252" w:firstLine="1418"/>
        <w:jc w:val="center"/>
        <w:rPr>
          <w:rFonts w:ascii="Century Gothic" w:hAnsi="Century Gothic"/>
          <w:sz w:val="14"/>
          <w:szCs w:val="14"/>
        </w:rPr>
      </w:pPr>
      <w:r w:rsidRPr="00967F08">
        <w:rPr>
          <w:rFonts w:ascii="Century Gothic" w:hAnsi="Century Gothic"/>
          <w:sz w:val="14"/>
          <w:szCs w:val="14"/>
        </w:rPr>
        <w:t>Assessor do MP</w:t>
      </w:r>
    </w:p>
    <w:p w14:paraId="5141083A" w14:textId="389CF274" w:rsidR="00967F08" w:rsidRPr="00967F08" w:rsidRDefault="00967F08" w:rsidP="00967F08">
      <w:pPr>
        <w:spacing w:after="0"/>
        <w:ind w:right="4252" w:firstLine="1418"/>
        <w:jc w:val="center"/>
        <w:rPr>
          <w:rFonts w:ascii="Century Gothic" w:hAnsi="Century Gothic"/>
          <w:sz w:val="14"/>
          <w:szCs w:val="14"/>
        </w:rPr>
      </w:pPr>
      <w:r>
        <w:rPr>
          <w:rFonts w:ascii="Century Gothic" w:hAnsi="Century Gothic"/>
          <w:sz w:val="14"/>
          <w:szCs w:val="14"/>
        </w:rPr>
        <w:t>respondendo pela S</w:t>
      </w:r>
      <w:r w:rsidRPr="00967F08">
        <w:rPr>
          <w:rFonts w:ascii="Century Gothic" w:hAnsi="Century Gothic"/>
          <w:sz w:val="14"/>
          <w:szCs w:val="14"/>
        </w:rPr>
        <w:t>ubárea de Fundos Especiais</w:t>
      </w:r>
    </w:p>
    <w:sectPr w:rsidR="00967F08" w:rsidRPr="00967F08" w:rsidSect="00EA10AA">
      <w:headerReference w:type="default" r:id="rId26"/>
      <w:footerReference w:type="default" r:id="rId27"/>
      <w:pgSz w:w="11907" w:h="16840" w:code="9"/>
      <w:pgMar w:top="1134"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1DE4B" w14:textId="77777777" w:rsidR="00966CB0" w:rsidRDefault="00966CB0">
      <w:pPr>
        <w:spacing w:after="0" w:line="240" w:lineRule="auto"/>
      </w:pPr>
      <w:r>
        <w:separator/>
      </w:r>
    </w:p>
  </w:endnote>
  <w:endnote w:type="continuationSeparator" w:id="0">
    <w:p w14:paraId="6B7A7B06" w14:textId="77777777" w:rsidR="00966CB0" w:rsidRDefault="0096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967553"/>
      <w:docPartObj>
        <w:docPartGallery w:val="Page Numbers (Bottom of Page)"/>
        <w:docPartUnique/>
      </w:docPartObj>
    </w:sdtPr>
    <w:sdtContent>
      <w:p w14:paraId="797A4BF8" w14:textId="4F48AB54" w:rsidR="00966CB0" w:rsidRDefault="00966CB0">
        <w:pPr>
          <w:pStyle w:val="Rodap"/>
          <w:jc w:val="right"/>
        </w:pPr>
        <w:r>
          <w:fldChar w:fldCharType="begin"/>
        </w:r>
        <w:r>
          <w:instrText>PAGE   \* MERGEFORMAT</w:instrText>
        </w:r>
        <w:r>
          <w:fldChar w:fldCharType="separate"/>
        </w:r>
        <w:r w:rsidR="00D85E93">
          <w:rPr>
            <w:noProof/>
          </w:rPr>
          <w:t>21</w:t>
        </w:r>
        <w:r>
          <w:fldChar w:fldCharType="end"/>
        </w:r>
        <w:r>
          <w:t>/2</w:t>
        </w:r>
        <w:r w:rsidR="00EA3DAF">
          <w:t>1</w:t>
        </w:r>
      </w:p>
    </w:sdtContent>
  </w:sdt>
  <w:p w14:paraId="63C15B5C" w14:textId="77777777" w:rsidR="00966CB0" w:rsidRDefault="00966C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3C147" w14:textId="77777777" w:rsidR="00966CB0" w:rsidRDefault="00966CB0">
      <w:pPr>
        <w:spacing w:after="0" w:line="240" w:lineRule="auto"/>
      </w:pPr>
      <w:r>
        <w:separator/>
      </w:r>
    </w:p>
  </w:footnote>
  <w:footnote w:type="continuationSeparator" w:id="0">
    <w:p w14:paraId="397E81BB" w14:textId="77777777" w:rsidR="00966CB0" w:rsidRDefault="00966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4F5B" w14:textId="77777777" w:rsidR="00966CB0" w:rsidRPr="00E16F3C" w:rsidRDefault="00966CB0" w:rsidP="00305575">
    <w:pPr>
      <w:spacing w:after="0" w:line="360" w:lineRule="auto"/>
      <w:ind w:left="284"/>
      <w:jc w:val="center"/>
      <w:rPr>
        <w:rFonts w:ascii="Times New Roman" w:hAnsi="Times New Roman" w:cs="Times New Roman"/>
        <w:b/>
        <w:sz w:val="28"/>
        <w:szCs w:val="28"/>
      </w:rPr>
    </w:pPr>
    <w:r>
      <w:rPr>
        <w:rFonts w:ascii="Garamond" w:hAnsi="Garamond"/>
        <w:b/>
        <w:noProof/>
      </w:rPr>
      <w:drawing>
        <wp:anchor distT="0" distB="0" distL="114300" distR="114300" simplePos="0" relativeHeight="251659264" behindDoc="0" locked="0" layoutInCell="1" allowOverlap="1" wp14:anchorId="45AFCE43" wp14:editId="0488AF51">
          <wp:simplePos x="0" y="0"/>
          <wp:positionH relativeFrom="column">
            <wp:posOffset>-89535</wp:posOffset>
          </wp:positionH>
          <wp:positionV relativeFrom="paragraph">
            <wp:posOffset>-260985</wp:posOffset>
          </wp:positionV>
          <wp:extent cx="1057275" cy="1066800"/>
          <wp:effectExtent l="0" t="0" r="9525" b="0"/>
          <wp:wrapNone/>
          <wp:docPr id="4" name="Imagem 4" descr="BRASÃO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SP"/>
                  <pic:cNvPicPr>
                    <a:picLocks noChangeAspect="1" noChangeArrowheads="1"/>
                  </pic:cNvPicPr>
                </pic:nvPicPr>
                <pic:blipFill>
                  <a:blip r:embed="rId1"/>
                  <a:srcRect/>
                  <a:stretch>
                    <a:fillRect/>
                  </a:stretch>
                </pic:blipFill>
                <pic:spPr bwMode="auto">
                  <a:xfrm>
                    <a:off x="0" y="0"/>
                    <a:ext cx="1057275" cy="1066800"/>
                  </a:xfrm>
                  <a:prstGeom prst="rect">
                    <a:avLst/>
                  </a:prstGeom>
                  <a:noFill/>
                </pic:spPr>
              </pic:pic>
            </a:graphicData>
          </a:graphic>
          <wp14:sizeRelH relativeFrom="margin">
            <wp14:pctWidth>0</wp14:pctWidth>
          </wp14:sizeRelH>
          <wp14:sizeRelV relativeFrom="margin">
            <wp14:pctHeight>0</wp14:pctHeight>
          </wp14:sizeRelV>
        </wp:anchor>
      </w:drawing>
    </w:r>
    <w:r>
      <w:rPr>
        <w:rFonts w:ascii="Garamond" w:hAnsi="Garamond"/>
        <w:b/>
      </w:rPr>
      <w:t xml:space="preserve">        </w:t>
    </w:r>
    <w:r w:rsidRPr="00E16F3C">
      <w:rPr>
        <w:rFonts w:ascii="Times New Roman" w:hAnsi="Times New Roman" w:cs="Times New Roman"/>
        <w:b/>
        <w:sz w:val="28"/>
        <w:szCs w:val="28"/>
      </w:rPr>
      <w:t>MINISTÉRIO PÚBLICO DO ESTADO DE SÃO PAULO</w:t>
    </w:r>
  </w:p>
  <w:p w14:paraId="66BA1EBD" w14:textId="77777777" w:rsidR="00966CB0" w:rsidRPr="00A34C60" w:rsidRDefault="00966CB0" w:rsidP="0065121C">
    <w:pPr>
      <w:spacing w:after="0"/>
      <w:ind w:left="284"/>
      <w:jc w:val="center"/>
      <w:rPr>
        <w:rFonts w:ascii="Garamond" w:hAnsi="Garamond"/>
        <w:b/>
        <w:sz w:val="24"/>
        <w:szCs w:val="24"/>
      </w:rPr>
    </w:pPr>
    <w:r w:rsidRPr="00C857A6">
      <w:rPr>
        <w:rFonts w:ascii="Times New Roman" w:hAnsi="Times New Roman" w:cs="Times New Roman"/>
        <w:sz w:val="24"/>
        <w:szCs w:val="24"/>
      </w:rPr>
      <w:t>CENTRO DE FINANÇAS E CONTABILIDADE</w:t>
    </w:r>
  </w:p>
  <w:p w14:paraId="0D3A19D8" w14:textId="77777777" w:rsidR="00966CB0" w:rsidRPr="00A34C60" w:rsidRDefault="00966CB0" w:rsidP="0065121C">
    <w:pPr>
      <w:pBdr>
        <w:bottom w:val="single" w:sz="6" w:space="1" w:color="auto"/>
      </w:pBdr>
      <w:spacing w:after="0"/>
      <w:ind w:left="284"/>
      <w:jc w:val="center"/>
      <w:rPr>
        <w:rFonts w:ascii="Times New Roman" w:hAnsi="Times New Roman" w:cs="Times New Roman"/>
      </w:rPr>
    </w:pPr>
    <w:r w:rsidRPr="00A34C60">
      <w:rPr>
        <w:rFonts w:ascii="Times New Roman" w:hAnsi="Times New Roman" w:cs="Times New Roman"/>
      </w:rPr>
      <w:t>Rua Riachuelo, 115 – 6º andar – Telefone (11) 3119-9472</w:t>
    </w:r>
  </w:p>
  <w:p w14:paraId="08FE3D80" w14:textId="77777777" w:rsidR="00966CB0" w:rsidRDefault="00966CB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6CB"/>
    <w:multiLevelType w:val="hybridMultilevel"/>
    <w:tmpl w:val="9B801956"/>
    <w:lvl w:ilvl="0" w:tplc="B96AC2AC">
      <w:start w:val="1"/>
      <w:numFmt w:val="lowerLetter"/>
      <w:lvlText w:val="%1)"/>
      <w:lvlJc w:val="left"/>
      <w:pPr>
        <w:ind w:left="1146" w:hanging="360"/>
      </w:pPr>
      <w:rPr>
        <w:rFonts w:ascii="Times New Roman" w:hAnsi="Times New Roman" w:cs="Times New Roman" w:hint="default"/>
        <w:sz w:val="24"/>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 w15:restartNumberingAfterBreak="0">
    <w:nsid w:val="08CA4F20"/>
    <w:multiLevelType w:val="hybridMultilevel"/>
    <w:tmpl w:val="0A4C4410"/>
    <w:lvl w:ilvl="0" w:tplc="0292DD3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A214336"/>
    <w:multiLevelType w:val="hybridMultilevel"/>
    <w:tmpl w:val="59FEC078"/>
    <w:lvl w:ilvl="0" w:tplc="945C0AC2">
      <w:start w:val="1"/>
      <w:numFmt w:val="lowerLetter"/>
      <w:lvlText w:val="%1)"/>
      <w:lvlJc w:val="left"/>
      <w:pPr>
        <w:ind w:left="6880" w:hanging="360"/>
      </w:pPr>
      <w:rPr>
        <w:rFonts w:hint="default"/>
      </w:rPr>
    </w:lvl>
    <w:lvl w:ilvl="1" w:tplc="04160019" w:tentative="1">
      <w:start w:val="1"/>
      <w:numFmt w:val="lowerLetter"/>
      <w:lvlText w:val="%2."/>
      <w:lvlJc w:val="left"/>
      <w:pPr>
        <w:ind w:left="4700" w:hanging="360"/>
      </w:pPr>
    </w:lvl>
    <w:lvl w:ilvl="2" w:tplc="0416001B" w:tentative="1">
      <w:start w:val="1"/>
      <w:numFmt w:val="lowerRoman"/>
      <w:lvlText w:val="%3."/>
      <w:lvlJc w:val="right"/>
      <w:pPr>
        <w:ind w:left="5420" w:hanging="180"/>
      </w:pPr>
    </w:lvl>
    <w:lvl w:ilvl="3" w:tplc="0416000F" w:tentative="1">
      <w:start w:val="1"/>
      <w:numFmt w:val="decimal"/>
      <w:lvlText w:val="%4."/>
      <w:lvlJc w:val="left"/>
      <w:pPr>
        <w:ind w:left="6140" w:hanging="360"/>
      </w:pPr>
    </w:lvl>
    <w:lvl w:ilvl="4" w:tplc="04160019">
      <w:start w:val="1"/>
      <w:numFmt w:val="lowerLetter"/>
      <w:lvlText w:val="%5."/>
      <w:lvlJc w:val="left"/>
      <w:pPr>
        <w:ind w:left="6860" w:hanging="360"/>
      </w:pPr>
    </w:lvl>
    <w:lvl w:ilvl="5" w:tplc="0416001B" w:tentative="1">
      <w:start w:val="1"/>
      <w:numFmt w:val="lowerRoman"/>
      <w:lvlText w:val="%6."/>
      <w:lvlJc w:val="right"/>
      <w:pPr>
        <w:ind w:left="7580" w:hanging="180"/>
      </w:pPr>
    </w:lvl>
    <w:lvl w:ilvl="6" w:tplc="0416000F" w:tentative="1">
      <w:start w:val="1"/>
      <w:numFmt w:val="decimal"/>
      <w:lvlText w:val="%7."/>
      <w:lvlJc w:val="left"/>
      <w:pPr>
        <w:ind w:left="8300" w:hanging="360"/>
      </w:pPr>
    </w:lvl>
    <w:lvl w:ilvl="7" w:tplc="04160019" w:tentative="1">
      <w:start w:val="1"/>
      <w:numFmt w:val="lowerLetter"/>
      <w:lvlText w:val="%8."/>
      <w:lvlJc w:val="left"/>
      <w:pPr>
        <w:ind w:left="9020" w:hanging="360"/>
      </w:pPr>
    </w:lvl>
    <w:lvl w:ilvl="8" w:tplc="0416001B" w:tentative="1">
      <w:start w:val="1"/>
      <w:numFmt w:val="lowerRoman"/>
      <w:lvlText w:val="%9."/>
      <w:lvlJc w:val="right"/>
      <w:pPr>
        <w:ind w:left="9740" w:hanging="180"/>
      </w:pPr>
    </w:lvl>
  </w:abstractNum>
  <w:abstractNum w:abstractNumId="3" w15:restartNumberingAfterBreak="0">
    <w:nsid w:val="0A5B72EC"/>
    <w:multiLevelType w:val="hybridMultilevel"/>
    <w:tmpl w:val="0A4C4410"/>
    <w:lvl w:ilvl="0" w:tplc="0292DD3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B0B6194"/>
    <w:multiLevelType w:val="hybridMultilevel"/>
    <w:tmpl w:val="9FCA913A"/>
    <w:lvl w:ilvl="0" w:tplc="D0306F3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A671D7"/>
    <w:multiLevelType w:val="hybridMultilevel"/>
    <w:tmpl w:val="C0EE0DC0"/>
    <w:lvl w:ilvl="0" w:tplc="AE1CFD5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9575B54"/>
    <w:multiLevelType w:val="hybridMultilevel"/>
    <w:tmpl w:val="0FD47B46"/>
    <w:lvl w:ilvl="0" w:tplc="3D041886">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1F165479"/>
    <w:multiLevelType w:val="hybridMultilevel"/>
    <w:tmpl w:val="B66A909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E420AF"/>
    <w:multiLevelType w:val="hybridMultilevel"/>
    <w:tmpl w:val="279E2A84"/>
    <w:lvl w:ilvl="0" w:tplc="49D6EFA4">
      <w:start w:val="1"/>
      <w:numFmt w:val="decimal"/>
      <w:lvlText w:val="%1)"/>
      <w:lvlJc w:val="left"/>
      <w:pPr>
        <w:ind w:left="720" w:hanging="360"/>
      </w:pPr>
      <w:rPr>
        <w:rFonts w:ascii="Gisha" w:hAnsi="Gisha" w:cs="Gisha"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A32A7A"/>
    <w:multiLevelType w:val="hybridMultilevel"/>
    <w:tmpl w:val="85A0C32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3973BF"/>
    <w:multiLevelType w:val="hybridMultilevel"/>
    <w:tmpl w:val="1B2AA468"/>
    <w:lvl w:ilvl="0" w:tplc="F600E75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334E7694"/>
    <w:multiLevelType w:val="hybridMultilevel"/>
    <w:tmpl w:val="EA02ED02"/>
    <w:lvl w:ilvl="0" w:tplc="6C708C88">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2" w15:restartNumberingAfterBreak="0">
    <w:nsid w:val="36051646"/>
    <w:multiLevelType w:val="hybridMultilevel"/>
    <w:tmpl w:val="2C20162A"/>
    <w:lvl w:ilvl="0" w:tplc="154E9B0A">
      <w:start w:val="1"/>
      <w:numFmt w:val="decimal"/>
      <w:lvlText w:val="%1)"/>
      <w:lvlJc w:val="left"/>
      <w:pPr>
        <w:tabs>
          <w:tab w:val="num" w:pos="786"/>
        </w:tabs>
        <w:ind w:left="78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FF1BAE"/>
    <w:multiLevelType w:val="hybridMultilevel"/>
    <w:tmpl w:val="0DFA9624"/>
    <w:lvl w:ilvl="0" w:tplc="C83AE9A6">
      <w:start w:val="1"/>
      <w:numFmt w:val="decimal"/>
      <w:lvlText w:val="%1-"/>
      <w:lvlJc w:val="left"/>
      <w:pPr>
        <w:ind w:left="1296" w:hanging="588"/>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38B411CB"/>
    <w:multiLevelType w:val="hybridMultilevel"/>
    <w:tmpl w:val="ADC4C9C0"/>
    <w:lvl w:ilvl="0" w:tplc="154E9B0A">
      <w:start w:val="1"/>
      <w:numFmt w:val="decimal"/>
      <w:lvlText w:val="%1)"/>
      <w:lvlJc w:val="left"/>
      <w:pPr>
        <w:ind w:left="78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CDE477D"/>
    <w:multiLevelType w:val="hybridMultilevel"/>
    <w:tmpl w:val="B176A69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D82B59"/>
    <w:multiLevelType w:val="hybridMultilevel"/>
    <w:tmpl w:val="561872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DF0237"/>
    <w:multiLevelType w:val="hybridMultilevel"/>
    <w:tmpl w:val="8D080870"/>
    <w:lvl w:ilvl="0" w:tplc="F178206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59DE5AB3"/>
    <w:multiLevelType w:val="hybridMultilevel"/>
    <w:tmpl w:val="1BA6F6F8"/>
    <w:lvl w:ilvl="0" w:tplc="8210481E">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9" w15:restartNumberingAfterBreak="0">
    <w:nsid w:val="5ED56676"/>
    <w:multiLevelType w:val="hybridMultilevel"/>
    <w:tmpl w:val="B456F752"/>
    <w:lvl w:ilvl="0" w:tplc="B2A63334">
      <w:start w:val="1"/>
      <w:numFmt w:val="lowerLetter"/>
      <w:lvlText w:val="%1)"/>
      <w:lvlJc w:val="left"/>
      <w:pPr>
        <w:ind w:left="1353" w:hanging="360"/>
      </w:pPr>
      <w:rPr>
        <w:rFonts w:hint="default"/>
        <w:color w:val="auto"/>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0" w15:restartNumberingAfterBreak="0">
    <w:nsid w:val="5EF0679B"/>
    <w:multiLevelType w:val="hybridMultilevel"/>
    <w:tmpl w:val="B160348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C9B6CD24">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CC739B"/>
    <w:multiLevelType w:val="hybridMultilevel"/>
    <w:tmpl w:val="CD54C6D0"/>
    <w:lvl w:ilvl="0" w:tplc="02C8EF96">
      <w:start w:val="1"/>
      <w:numFmt w:val="lowerLetter"/>
      <w:lvlText w:val="%1)"/>
      <w:lvlJc w:val="lef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22" w15:restartNumberingAfterBreak="0">
    <w:nsid w:val="69897CF5"/>
    <w:multiLevelType w:val="hybridMultilevel"/>
    <w:tmpl w:val="3E1E951E"/>
    <w:lvl w:ilvl="0" w:tplc="C964A270">
      <w:start w:val="1"/>
      <w:numFmt w:val="lowerLetter"/>
      <w:lvlText w:val="%1)"/>
      <w:lvlJc w:val="left"/>
      <w:pPr>
        <w:tabs>
          <w:tab w:val="num" w:pos="786"/>
        </w:tabs>
        <w:ind w:left="78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54781F"/>
    <w:multiLevelType w:val="hybridMultilevel"/>
    <w:tmpl w:val="FEF6A742"/>
    <w:lvl w:ilvl="0" w:tplc="07B618F6">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4" w15:restartNumberingAfterBreak="0">
    <w:nsid w:val="7448327D"/>
    <w:multiLevelType w:val="hybridMultilevel"/>
    <w:tmpl w:val="224AF7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540533"/>
    <w:multiLevelType w:val="hybridMultilevel"/>
    <w:tmpl w:val="3E1E951E"/>
    <w:lvl w:ilvl="0" w:tplc="C964A270">
      <w:start w:val="1"/>
      <w:numFmt w:val="lowerLetter"/>
      <w:lvlText w:val="%1)"/>
      <w:lvlJc w:val="left"/>
      <w:pPr>
        <w:tabs>
          <w:tab w:val="num" w:pos="786"/>
        </w:tabs>
        <w:ind w:left="786"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EC25A9"/>
    <w:multiLevelType w:val="hybridMultilevel"/>
    <w:tmpl w:val="02B08B10"/>
    <w:lvl w:ilvl="0" w:tplc="49D6EFA4">
      <w:start w:val="1"/>
      <w:numFmt w:val="decimal"/>
      <w:lvlText w:val="%1)"/>
      <w:lvlJc w:val="left"/>
      <w:pPr>
        <w:ind w:left="720" w:hanging="360"/>
      </w:pPr>
      <w:rPr>
        <w:rFonts w:ascii="Gisha" w:hAnsi="Gisha" w:cs="Gisha"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772D92"/>
    <w:multiLevelType w:val="hybridMultilevel"/>
    <w:tmpl w:val="F044F582"/>
    <w:lvl w:ilvl="0" w:tplc="945C0AC2">
      <w:start w:val="1"/>
      <w:numFmt w:val="lowerLetter"/>
      <w:lvlText w:val="%1)"/>
      <w:lvlJc w:val="left"/>
      <w:pPr>
        <w:ind w:left="3620" w:hanging="360"/>
      </w:pPr>
      <w:rPr>
        <w:rFonts w:hint="default"/>
      </w:rPr>
    </w:lvl>
    <w:lvl w:ilvl="1" w:tplc="04160019" w:tentative="1">
      <w:start w:val="1"/>
      <w:numFmt w:val="lowerLetter"/>
      <w:lvlText w:val="%2."/>
      <w:lvlJc w:val="left"/>
      <w:pPr>
        <w:ind w:left="4340" w:hanging="360"/>
      </w:pPr>
    </w:lvl>
    <w:lvl w:ilvl="2" w:tplc="0416001B" w:tentative="1">
      <w:start w:val="1"/>
      <w:numFmt w:val="lowerRoman"/>
      <w:lvlText w:val="%3."/>
      <w:lvlJc w:val="right"/>
      <w:pPr>
        <w:ind w:left="5060" w:hanging="180"/>
      </w:pPr>
    </w:lvl>
    <w:lvl w:ilvl="3" w:tplc="0416000F" w:tentative="1">
      <w:start w:val="1"/>
      <w:numFmt w:val="decimal"/>
      <w:lvlText w:val="%4."/>
      <w:lvlJc w:val="left"/>
      <w:pPr>
        <w:ind w:left="5780" w:hanging="360"/>
      </w:pPr>
    </w:lvl>
    <w:lvl w:ilvl="4" w:tplc="04160019" w:tentative="1">
      <w:start w:val="1"/>
      <w:numFmt w:val="lowerLetter"/>
      <w:lvlText w:val="%5."/>
      <w:lvlJc w:val="left"/>
      <w:pPr>
        <w:ind w:left="6500" w:hanging="360"/>
      </w:pPr>
    </w:lvl>
    <w:lvl w:ilvl="5" w:tplc="0416001B" w:tentative="1">
      <w:start w:val="1"/>
      <w:numFmt w:val="lowerRoman"/>
      <w:lvlText w:val="%6."/>
      <w:lvlJc w:val="right"/>
      <w:pPr>
        <w:ind w:left="7220" w:hanging="180"/>
      </w:pPr>
    </w:lvl>
    <w:lvl w:ilvl="6" w:tplc="0416000F" w:tentative="1">
      <w:start w:val="1"/>
      <w:numFmt w:val="decimal"/>
      <w:lvlText w:val="%7."/>
      <w:lvlJc w:val="left"/>
      <w:pPr>
        <w:ind w:left="7940" w:hanging="360"/>
      </w:pPr>
    </w:lvl>
    <w:lvl w:ilvl="7" w:tplc="04160019" w:tentative="1">
      <w:start w:val="1"/>
      <w:numFmt w:val="lowerLetter"/>
      <w:lvlText w:val="%8."/>
      <w:lvlJc w:val="left"/>
      <w:pPr>
        <w:ind w:left="8660" w:hanging="360"/>
      </w:pPr>
    </w:lvl>
    <w:lvl w:ilvl="8" w:tplc="0416001B" w:tentative="1">
      <w:start w:val="1"/>
      <w:numFmt w:val="lowerRoman"/>
      <w:lvlText w:val="%9."/>
      <w:lvlJc w:val="right"/>
      <w:pPr>
        <w:ind w:left="9380" w:hanging="180"/>
      </w:pPr>
    </w:lvl>
  </w:abstractNum>
  <w:num w:numId="1">
    <w:abstractNumId w:val="8"/>
  </w:num>
  <w:num w:numId="2">
    <w:abstractNumId w:val="26"/>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7"/>
  </w:num>
  <w:num w:numId="6">
    <w:abstractNumId w:val="2"/>
  </w:num>
  <w:num w:numId="7">
    <w:abstractNumId w:val="23"/>
  </w:num>
  <w:num w:numId="8">
    <w:abstractNumId w:val="11"/>
  </w:num>
  <w:num w:numId="9">
    <w:abstractNumId w:val="5"/>
  </w:num>
  <w:num w:numId="10">
    <w:abstractNumId w:val="16"/>
  </w:num>
  <w:num w:numId="11">
    <w:abstractNumId w:val="1"/>
  </w:num>
  <w:num w:numId="12">
    <w:abstractNumId w:val="12"/>
  </w:num>
  <w:num w:numId="13">
    <w:abstractNumId w:val="25"/>
  </w:num>
  <w:num w:numId="14">
    <w:abstractNumId w:val="22"/>
  </w:num>
  <w:num w:numId="15">
    <w:abstractNumId w:val="0"/>
  </w:num>
  <w:num w:numId="16">
    <w:abstractNumId w:val="20"/>
  </w:num>
  <w:num w:numId="17">
    <w:abstractNumId w:val="3"/>
  </w:num>
  <w:num w:numId="18">
    <w:abstractNumId w:val="6"/>
  </w:num>
  <w:num w:numId="19">
    <w:abstractNumId w:val="14"/>
  </w:num>
  <w:num w:numId="20">
    <w:abstractNumId w:val="15"/>
  </w:num>
  <w:num w:numId="21">
    <w:abstractNumId w:val="9"/>
  </w:num>
  <w:num w:numId="22">
    <w:abstractNumId w:val="7"/>
  </w:num>
  <w:num w:numId="23">
    <w:abstractNumId w:val="19"/>
  </w:num>
  <w:num w:numId="24">
    <w:abstractNumId w:val="18"/>
  </w:num>
  <w:num w:numId="25">
    <w:abstractNumId w:val="10"/>
  </w:num>
  <w:num w:numId="26">
    <w:abstractNumId w:val="17"/>
  </w:num>
  <w:num w:numId="27">
    <w:abstractNumId w:val="2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hideGrammaticalErrors/>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CA"/>
    <w:rsid w:val="00013C3A"/>
    <w:rsid w:val="00021F89"/>
    <w:rsid w:val="00023106"/>
    <w:rsid w:val="00024614"/>
    <w:rsid w:val="000308BF"/>
    <w:rsid w:val="00034C0E"/>
    <w:rsid w:val="000371FD"/>
    <w:rsid w:val="00042BB1"/>
    <w:rsid w:val="000510C9"/>
    <w:rsid w:val="00056716"/>
    <w:rsid w:val="00061DDB"/>
    <w:rsid w:val="00067788"/>
    <w:rsid w:val="00076ED8"/>
    <w:rsid w:val="00084AEB"/>
    <w:rsid w:val="00084E47"/>
    <w:rsid w:val="00093040"/>
    <w:rsid w:val="000A3297"/>
    <w:rsid w:val="000A7DCD"/>
    <w:rsid w:val="000B7EEB"/>
    <w:rsid w:val="000C4675"/>
    <w:rsid w:val="000C4B0E"/>
    <w:rsid w:val="000D2061"/>
    <w:rsid w:val="000D7434"/>
    <w:rsid w:val="000E2BF7"/>
    <w:rsid w:val="000E3743"/>
    <w:rsid w:val="000E4830"/>
    <w:rsid w:val="000E4952"/>
    <w:rsid w:val="000F441E"/>
    <w:rsid w:val="001040D1"/>
    <w:rsid w:val="00104BC9"/>
    <w:rsid w:val="001118EA"/>
    <w:rsid w:val="00116CF5"/>
    <w:rsid w:val="00130734"/>
    <w:rsid w:val="0013078E"/>
    <w:rsid w:val="00130D81"/>
    <w:rsid w:val="00147587"/>
    <w:rsid w:val="00157967"/>
    <w:rsid w:val="00157BF7"/>
    <w:rsid w:val="00157DAD"/>
    <w:rsid w:val="001607F3"/>
    <w:rsid w:val="00165379"/>
    <w:rsid w:val="00166CEC"/>
    <w:rsid w:val="00171C12"/>
    <w:rsid w:val="001757D8"/>
    <w:rsid w:val="001963E9"/>
    <w:rsid w:val="00196A83"/>
    <w:rsid w:val="001A77AE"/>
    <w:rsid w:val="001B45CF"/>
    <w:rsid w:val="001C0BC2"/>
    <w:rsid w:val="001C4489"/>
    <w:rsid w:val="001D5C53"/>
    <w:rsid w:val="001D7606"/>
    <w:rsid w:val="001E3565"/>
    <w:rsid w:val="001E4A8C"/>
    <w:rsid w:val="001F2B3C"/>
    <w:rsid w:val="001F7159"/>
    <w:rsid w:val="00203F6B"/>
    <w:rsid w:val="00205F33"/>
    <w:rsid w:val="002433EA"/>
    <w:rsid w:val="00244ECA"/>
    <w:rsid w:val="002477DA"/>
    <w:rsid w:val="002611CB"/>
    <w:rsid w:val="00273658"/>
    <w:rsid w:val="0027664E"/>
    <w:rsid w:val="0028166A"/>
    <w:rsid w:val="00293277"/>
    <w:rsid w:val="002933C2"/>
    <w:rsid w:val="002959E1"/>
    <w:rsid w:val="002A2D13"/>
    <w:rsid w:val="002A78E1"/>
    <w:rsid w:val="002B175C"/>
    <w:rsid w:val="002B28D1"/>
    <w:rsid w:val="002B3F15"/>
    <w:rsid w:val="002B7C29"/>
    <w:rsid w:val="002C1308"/>
    <w:rsid w:val="002C21F5"/>
    <w:rsid w:val="002C7E05"/>
    <w:rsid w:val="002D67F2"/>
    <w:rsid w:val="002D6E0B"/>
    <w:rsid w:val="002E37F4"/>
    <w:rsid w:val="002E3837"/>
    <w:rsid w:val="002E5014"/>
    <w:rsid w:val="002F00B8"/>
    <w:rsid w:val="002F3530"/>
    <w:rsid w:val="0030099D"/>
    <w:rsid w:val="00305575"/>
    <w:rsid w:val="00310C48"/>
    <w:rsid w:val="0032173C"/>
    <w:rsid w:val="0032371C"/>
    <w:rsid w:val="003307CD"/>
    <w:rsid w:val="00332CE6"/>
    <w:rsid w:val="003335E0"/>
    <w:rsid w:val="003372A0"/>
    <w:rsid w:val="003407E0"/>
    <w:rsid w:val="00341130"/>
    <w:rsid w:val="00341F40"/>
    <w:rsid w:val="003441C8"/>
    <w:rsid w:val="003445C0"/>
    <w:rsid w:val="0034718D"/>
    <w:rsid w:val="00354F51"/>
    <w:rsid w:val="0035668D"/>
    <w:rsid w:val="00356DBC"/>
    <w:rsid w:val="003620E0"/>
    <w:rsid w:val="00370568"/>
    <w:rsid w:val="00375720"/>
    <w:rsid w:val="003864BC"/>
    <w:rsid w:val="00394728"/>
    <w:rsid w:val="003B2C62"/>
    <w:rsid w:val="003B5E4F"/>
    <w:rsid w:val="003B65C2"/>
    <w:rsid w:val="003B7F18"/>
    <w:rsid w:val="003D577F"/>
    <w:rsid w:val="003D6922"/>
    <w:rsid w:val="003D79D2"/>
    <w:rsid w:val="003D7EC7"/>
    <w:rsid w:val="003E63A3"/>
    <w:rsid w:val="003E6997"/>
    <w:rsid w:val="003F23A7"/>
    <w:rsid w:val="003F5192"/>
    <w:rsid w:val="003F566A"/>
    <w:rsid w:val="003F5B52"/>
    <w:rsid w:val="00402369"/>
    <w:rsid w:val="00402E3C"/>
    <w:rsid w:val="00406A76"/>
    <w:rsid w:val="00412410"/>
    <w:rsid w:val="00413471"/>
    <w:rsid w:val="00426DA8"/>
    <w:rsid w:val="004271D9"/>
    <w:rsid w:val="00434D97"/>
    <w:rsid w:val="0043534F"/>
    <w:rsid w:val="00455D2E"/>
    <w:rsid w:val="00455FE4"/>
    <w:rsid w:val="0047023E"/>
    <w:rsid w:val="00472B16"/>
    <w:rsid w:val="00480C51"/>
    <w:rsid w:val="00481B93"/>
    <w:rsid w:val="00491D13"/>
    <w:rsid w:val="00494196"/>
    <w:rsid w:val="00497BFD"/>
    <w:rsid w:val="004A02D0"/>
    <w:rsid w:val="004A056A"/>
    <w:rsid w:val="004A0602"/>
    <w:rsid w:val="004A19EE"/>
    <w:rsid w:val="004B1435"/>
    <w:rsid w:val="004C36EC"/>
    <w:rsid w:val="004C4908"/>
    <w:rsid w:val="004D061E"/>
    <w:rsid w:val="004D34D2"/>
    <w:rsid w:val="004D3885"/>
    <w:rsid w:val="004E21B8"/>
    <w:rsid w:val="004E4FC0"/>
    <w:rsid w:val="004E5DB3"/>
    <w:rsid w:val="004F0599"/>
    <w:rsid w:val="004F299A"/>
    <w:rsid w:val="00503F37"/>
    <w:rsid w:val="00511811"/>
    <w:rsid w:val="00511FF5"/>
    <w:rsid w:val="0052334D"/>
    <w:rsid w:val="00526498"/>
    <w:rsid w:val="00526E3A"/>
    <w:rsid w:val="00527CA3"/>
    <w:rsid w:val="00534CA5"/>
    <w:rsid w:val="00536A8C"/>
    <w:rsid w:val="00540FAA"/>
    <w:rsid w:val="00545EA5"/>
    <w:rsid w:val="005638F0"/>
    <w:rsid w:val="00565AF1"/>
    <w:rsid w:val="005731C3"/>
    <w:rsid w:val="0057557A"/>
    <w:rsid w:val="005927BA"/>
    <w:rsid w:val="0059389C"/>
    <w:rsid w:val="00595155"/>
    <w:rsid w:val="0059535D"/>
    <w:rsid w:val="005B238E"/>
    <w:rsid w:val="005B2406"/>
    <w:rsid w:val="005C0397"/>
    <w:rsid w:val="005D3684"/>
    <w:rsid w:val="005D3780"/>
    <w:rsid w:val="005D4033"/>
    <w:rsid w:val="005D76FE"/>
    <w:rsid w:val="005E41D6"/>
    <w:rsid w:val="005F6410"/>
    <w:rsid w:val="005F76E5"/>
    <w:rsid w:val="005F7A6C"/>
    <w:rsid w:val="00600E09"/>
    <w:rsid w:val="0060261D"/>
    <w:rsid w:val="0060375D"/>
    <w:rsid w:val="00603780"/>
    <w:rsid w:val="00603AD7"/>
    <w:rsid w:val="00606BF9"/>
    <w:rsid w:val="00607276"/>
    <w:rsid w:val="00612A55"/>
    <w:rsid w:val="00621DE7"/>
    <w:rsid w:val="00630CA7"/>
    <w:rsid w:val="006364AA"/>
    <w:rsid w:val="00636B50"/>
    <w:rsid w:val="00640A83"/>
    <w:rsid w:val="00647846"/>
    <w:rsid w:val="0065080C"/>
    <w:rsid w:val="0065121C"/>
    <w:rsid w:val="00655C1A"/>
    <w:rsid w:val="00661D64"/>
    <w:rsid w:val="00665938"/>
    <w:rsid w:val="00681AEA"/>
    <w:rsid w:val="0068441C"/>
    <w:rsid w:val="006974AA"/>
    <w:rsid w:val="006A117A"/>
    <w:rsid w:val="006A11E6"/>
    <w:rsid w:val="006A50A8"/>
    <w:rsid w:val="006A60A7"/>
    <w:rsid w:val="006B26C5"/>
    <w:rsid w:val="006B27D5"/>
    <w:rsid w:val="006B7923"/>
    <w:rsid w:val="006C20BC"/>
    <w:rsid w:val="006C64E1"/>
    <w:rsid w:val="006C7CF2"/>
    <w:rsid w:val="006D10BA"/>
    <w:rsid w:val="006D5A74"/>
    <w:rsid w:val="006F0CAC"/>
    <w:rsid w:val="00706D66"/>
    <w:rsid w:val="00710463"/>
    <w:rsid w:val="0071174C"/>
    <w:rsid w:val="00711A62"/>
    <w:rsid w:val="00713E8B"/>
    <w:rsid w:val="007275FF"/>
    <w:rsid w:val="0073040A"/>
    <w:rsid w:val="007422FA"/>
    <w:rsid w:val="00746139"/>
    <w:rsid w:val="00746CE4"/>
    <w:rsid w:val="00751970"/>
    <w:rsid w:val="00755352"/>
    <w:rsid w:val="007573C4"/>
    <w:rsid w:val="00767917"/>
    <w:rsid w:val="00795BC0"/>
    <w:rsid w:val="007A0A73"/>
    <w:rsid w:val="007A1C83"/>
    <w:rsid w:val="007B0FD7"/>
    <w:rsid w:val="007B123D"/>
    <w:rsid w:val="007B16F0"/>
    <w:rsid w:val="007B4E1E"/>
    <w:rsid w:val="007B5C5B"/>
    <w:rsid w:val="007B61EE"/>
    <w:rsid w:val="007B780A"/>
    <w:rsid w:val="007C5647"/>
    <w:rsid w:val="007C63D9"/>
    <w:rsid w:val="007D3349"/>
    <w:rsid w:val="007D692D"/>
    <w:rsid w:val="007E52B2"/>
    <w:rsid w:val="007F0F9F"/>
    <w:rsid w:val="007F142F"/>
    <w:rsid w:val="007F2104"/>
    <w:rsid w:val="007F2340"/>
    <w:rsid w:val="007F32A2"/>
    <w:rsid w:val="007F45DE"/>
    <w:rsid w:val="00801C75"/>
    <w:rsid w:val="00802042"/>
    <w:rsid w:val="0080695B"/>
    <w:rsid w:val="008126E5"/>
    <w:rsid w:val="008154F0"/>
    <w:rsid w:val="00815F1A"/>
    <w:rsid w:val="00816413"/>
    <w:rsid w:val="00823572"/>
    <w:rsid w:val="008358B9"/>
    <w:rsid w:val="00840BBB"/>
    <w:rsid w:val="00843131"/>
    <w:rsid w:val="008437C6"/>
    <w:rsid w:val="00843F13"/>
    <w:rsid w:val="00852F73"/>
    <w:rsid w:val="008562EF"/>
    <w:rsid w:val="0085734C"/>
    <w:rsid w:val="00857BE6"/>
    <w:rsid w:val="0086358F"/>
    <w:rsid w:val="00874838"/>
    <w:rsid w:val="00876390"/>
    <w:rsid w:val="00876408"/>
    <w:rsid w:val="008849E7"/>
    <w:rsid w:val="00886300"/>
    <w:rsid w:val="008B5B9D"/>
    <w:rsid w:val="008B72D4"/>
    <w:rsid w:val="008C277A"/>
    <w:rsid w:val="008C34E8"/>
    <w:rsid w:val="008D4611"/>
    <w:rsid w:val="008E1397"/>
    <w:rsid w:val="008F1B15"/>
    <w:rsid w:val="008F5E8F"/>
    <w:rsid w:val="008F6066"/>
    <w:rsid w:val="00901483"/>
    <w:rsid w:val="00902339"/>
    <w:rsid w:val="0090624D"/>
    <w:rsid w:val="00907ABC"/>
    <w:rsid w:val="0091115B"/>
    <w:rsid w:val="00912547"/>
    <w:rsid w:val="00915A51"/>
    <w:rsid w:val="00922E76"/>
    <w:rsid w:val="009319BF"/>
    <w:rsid w:val="00937934"/>
    <w:rsid w:val="0094217A"/>
    <w:rsid w:val="009435B1"/>
    <w:rsid w:val="00955922"/>
    <w:rsid w:val="00963431"/>
    <w:rsid w:val="00964977"/>
    <w:rsid w:val="00965146"/>
    <w:rsid w:val="009653C1"/>
    <w:rsid w:val="00966CB0"/>
    <w:rsid w:val="00967F08"/>
    <w:rsid w:val="00975134"/>
    <w:rsid w:val="00976EC5"/>
    <w:rsid w:val="00980C97"/>
    <w:rsid w:val="00982354"/>
    <w:rsid w:val="0098731E"/>
    <w:rsid w:val="009927CB"/>
    <w:rsid w:val="00995640"/>
    <w:rsid w:val="009A7915"/>
    <w:rsid w:val="009B3FB9"/>
    <w:rsid w:val="009B5EC4"/>
    <w:rsid w:val="009B5FD1"/>
    <w:rsid w:val="009D664D"/>
    <w:rsid w:val="009E77CA"/>
    <w:rsid w:val="009F4119"/>
    <w:rsid w:val="009F61A8"/>
    <w:rsid w:val="00A02B7F"/>
    <w:rsid w:val="00A0791A"/>
    <w:rsid w:val="00A07F48"/>
    <w:rsid w:val="00A14882"/>
    <w:rsid w:val="00A15D69"/>
    <w:rsid w:val="00A201BE"/>
    <w:rsid w:val="00A2736A"/>
    <w:rsid w:val="00A27D18"/>
    <w:rsid w:val="00A34C60"/>
    <w:rsid w:val="00A40CBE"/>
    <w:rsid w:val="00A40D9C"/>
    <w:rsid w:val="00A44885"/>
    <w:rsid w:val="00A47713"/>
    <w:rsid w:val="00A5129D"/>
    <w:rsid w:val="00A5385A"/>
    <w:rsid w:val="00A53A0E"/>
    <w:rsid w:val="00A60A76"/>
    <w:rsid w:val="00A632BB"/>
    <w:rsid w:val="00A70EFE"/>
    <w:rsid w:val="00A77E57"/>
    <w:rsid w:val="00A77E6A"/>
    <w:rsid w:val="00A8019F"/>
    <w:rsid w:val="00A87FC5"/>
    <w:rsid w:val="00AB164A"/>
    <w:rsid w:val="00AB2030"/>
    <w:rsid w:val="00AB2C0C"/>
    <w:rsid w:val="00AB3CE0"/>
    <w:rsid w:val="00AB6D08"/>
    <w:rsid w:val="00AC41BB"/>
    <w:rsid w:val="00AC7682"/>
    <w:rsid w:val="00AE5915"/>
    <w:rsid w:val="00AE5DC3"/>
    <w:rsid w:val="00AE698A"/>
    <w:rsid w:val="00AF0D81"/>
    <w:rsid w:val="00AF2380"/>
    <w:rsid w:val="00AF449E"/>
    <w:rsid w:val="00AF50F8"/>
    <w:rsid w:val="00AF7DA4"/>
    <w:rsid w:val="00B038B4"/>
    <w:rsid w:val="00B04924"/>
    <w:rsid w:val="00B10971"/>
    <w:rsid w:val="00B12EA6"/>
    <w:rsid w:val="00B20C29"/>
    <w:rsid w:val="00B24251"/>
    <w:rsid w:val="00B26E3B"/>
    <w:rsid w:val="00B35A50"/>
    <w:rsid w:val="00B35C89"/>
    <w:rsid w:val="00B37E01"/>
    <w:rsid w:val="00B40DCF"/>
    <w:rsid w:val="00B5545B"/>
    <w:rsid w:val="00B563FB"/>
    <w:rsid w:val="00B64506"/>
    <w:rsid w:val="00B66BCD"/>
    <w:rsid w:val="00B8357A"/>
    <w:rsid w:val="00B84B45"/>
    <w:rsid w:val="00B854AA"/>
    <w:rsid w:val="00B92E95"/>
    <w:rsid w:val="00B95F88"/>
    <w:rsid w:val="00B963B6"/>
    <w:rsid w:val="00B96B5C"/>
    <w:rsid w:val="00B96C9E"/>
    <w:rsid w:val="00BB4668"/>
    <w:rsid w:val="00BB6050"/>
    <w:rsid w:val="00BC6C29"/>
    <w:rsid w:val="00BD5B58"/>
    <w:rsid w:val="00BE0166"/>
    <w:rsid w:val="00BF1A69"/>
    <w:rsid w:val="00BF32E9"/>
    <w:rsid w:val="00BF51F6"/>
    <w:rsid w:val="00C0088E"/>
    <w:rsid w:val="00C108C5"/>
    <w:rsid w:val="00C11646"/>
    <w:rsid w:val="00C2003C"/>
    <w:rsid w:val="00C20C2B"/>
    <w:rsid w:val="00C218B2"/>
    <w:rsid w:val="00C33754"/>
    <w:rsid w:val="00C40349"/>
    <w:rsid w:val="00C50D02"/>
    <w:rsid w:val="00C51138"/>
    <w:rsid w:val="00C51E20"/>
    <w:rsid w:val="00C540BD"/>
    <w:rsid w:val="00C625B9"/>
    <w:rsid w:val="00C661C1"/>
    <w:rsid w:val="00C82A4B"/>
    <w:rsid w:val="00C8529C"/>
    <w:rsid w:val="00C857A6"/>
    <w:rsid w:val="00C86623"/>
    <w:rsid w:val="00C91861"/>
    <w:rsid w:val="00CA0F10"/>
    <w:rsid w:val="00CA4886"/>
    <w:rsid w:val="00CA65B7"/>
    <w:rsid w:val="00CB5DD0"/>
    <w:rsid w:val="00CC5478"/>
    <w:rsid w:val="00CE51C7"/>
    <w:rsid w:val="00CE7543"/>
    <w:rsid w:val="00CF00A2"/>
    <w:rsid w:val="00CF33A8"/>
    <w:rsid w:val="00CF37C9"/>
    <w:rsid w:val="00CF6161"/>
    <w:rsid w:val="00D00CCB"/>
    <w:rsid w:val="00D00CE7"/>
    <w:rsid w:val="00D02261"/>
    <w:rsid w:val="00D0439B"/>
    <w:rsid w:val="00D04E58"/>
    <w:rsid w:val="00D105C3"/>
    <w:rsid w:val="00D1379E"/>
    <w:rsid w:val="00D1443B"/>
    <w:rsid w:val="00D15555"/>
    <w:rsid w:val="00D16DF8"/>
    <w:rsid w:val="00D174B1"/>
    <w:rsid w:val="00D250DA"/>
    <w:rsid w:val="00D33088"/>
    <w:rsid w:val="00D349D9"/>
    <w:rsid w:val="00D37929"/>
    <w:rsid w:val="00D4139B"/>
    <w:rsid w:val="00D41994"/>
    <w:rsid w:val="00D43928"/>
    <w:rsid w:val="00D4429D"/>
    <w:rsid w:val="00D4719E"/>
    <w:rsid w:val="00D542CD"/>
    <w:rsid w:val="00D54A15"/>
    <w:rsid w:val="00D55309"/>
    <w:rsid w:val="00D560D1"/>
    <w:rsid w:val="00D607F1"/>
    <w:rsid w:val="00D631C5"/>
    <w:rsid w:val="00D71D93"/>
    <w:rsid w:val="00D779D9"/>
    <w:rsid w:val="00D80BC6"/>
    <w:rsid w:val="00D82A87"/>
    <w:rsid w:val="00D837D9"/>
    <w:rsid w:val="00D85282"/>
    <w:rsid w:val="00D85E93"/>
    <w:rsid w:val="00D93BAE"/>
    <w:rsid w:val="00DA1D6D"/>
    <w:rsid w:val="00DA4A6C"/>
    <w:rsid w:val="00DA5DE3"/>
    <w:rsid w:val="00DB46D6"/>
    <w:rsid w:val="00DC0DF1"/>
    <w:rsid w:val="00DC7F6F"/>
    <w:rsid w:val="00DD4721"/>
    <w:rsid w:val="00DD6A31"/>
    <w:rsid w:val="00DD7826"/>
    <w:rsid w:val="00DE0E2F"/>
    <w:rsid w:val="00DE2CF1"/>
    <w:rsid w:val="00DE3EAC"/>
    <w:rsid w:val="00DF22E4"/>
    <w:rsid w:val="00DF4D2A"/>
    <w:rsid w:val="00E115B1"/>
    <w:rsid w:val="00E1586C"/>
    <w:rsid w:val="00E16F3C"/>
    <w:rsid w:val="00E21165"/>
    <w:rsid w:val="00E32B9A"/>
    <w:rsid w:val="00E356B7"/>
    <w:rsid w:val="00E357E4"/>
    <w:rsid w:val="00E508C8"/>
    <w:rsid w:val="00E56513"/>
    <w:rsid w:val="00E60941"/>
    <w:rsid w:val="00E61E71"/>
    <w:rsid w:val="00E74390"/>
    <w:rsid w:val="00E85A35"/>
    <w:rsid w:val="00E94B2A"/>
    <w:rsid w:val="00E95414"/>
    <w:rsid w:val="00EA10AA"/>
    <w:rsid w:val="00EA3DAF"/>
    <w:rsid w:val="00EA4AED"/>
    <w:rsid w:val="00EA5D32"/>
    <w:rsid w:val="00EA7507"/>
    <w:rsid w:val="00EB2DB5"/>
    <w:rsid w:val="00EB3C26"/>
    <w:rsid w:val="00EB5077"/>
    <w:rsid w:val="00EB7046"/>
    <w:rsid w:val="00EC5A34"/>
    <w:rsid w:val="00ED14D2"/>
    <w:rsid w:val="00ED68D3"/>
    <w:rsid w:val="00EE260F"/>
    <w:rsid w:val="00EE3407"/>
    <w:rsid w:val="00EE686F"/>
    <w:rsid w:val="00EF1E93"/>
    <w:rsid w:val="00EF3378"/>
    <w:rsid w:val="00EF7381"/>
    <w:rsid w:val="00EF7812"/>
    <w:rsid w:val="00F007A7"/>
    <w:rsid w:val="00F02464"/>
    <w:rsid w:val="00F03C9D"/>
    <w:rsid w:val="00F12F59"/>
    <w:rsid w:val="00F23F16"/>
    <w:rsid w:val="00F24AF2"/>
    <w:rsid w:val="00F32875"/>
    <w:rsid w:val="00F35C50"/>
    <w:rsid w:val="00F3680A"/>
    <w:rsid w:val="00F46EB4"/>
    <w:rsid w:val="00F5137B"/>
    <w:rsid w:val="00F55FBA"/>
    <w:rsid w:val="00F56341"/>
    <w:rsid w:val="00F636E8"/>
    <w:rsid w:val="00F63C0B"/>
    <w:rsid w:val="00F752C2"/>
    <w:rsid w:val="00F76ACC"/>
    <w:rsid w:val="00F83E5D"/>
    <w:rsid w:val="00F90C40"/>
    <w:rsid w:val="00F96B48"/>
    <w:rsid w:val="00FA0017"/>
    <w:rsid w:val="00FB0FAE"/>
    <w:rsid w:val="00FB560C"/>
    <w:rsid w:val="00FB731C"/>
    <w:rsid w:val="00FB79BA"/>
    <w:rsid w:val="00FC1520"/>
    <w:rsid w:val="00FC297E"/>
    <w:rsid w:val="00FC2C9A"/>
    <w:rsid w:val="00FC7C7B"/>
    <w:rsid w:val="00FD42BA"/>
    <w:rsid w:val="00FD72E2"/>
    <w:rsid w:val="00FF7CB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82D3C0"/>
  <w15:docId w15:val="{34A0478D-ACFC-4A1B-A25D-5FF0842E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82357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tuloChar">
    <w:name w:val="Título Char"/>
    <w:basedOn w:val="Fontepargpadro"/>
    <w:link w:val="Ttulo"/>
    <w:rsid w:val="00823572"/>
    <w:rPr>
      <w:rFonts w:ascii="Arial" w:eastAsia="Times New Roman" w:hAnsi="Arial" w:cs="Times New Roman"/>
      <w:b/>
      <w:sz w:val="24"/>
      <w:szCs w:val="20"/>
      <w:lang w:eastAsia="pt-BR"/>
    </w:rPr>
  </w:style>
  <w:style w:type="paragraph" w:styleId="Corpodetexto">
    <w:name w:val="Body Text"/>
    <w:basedOn w:val="Normal"/>
    <w:link w:val="CorpodetextoChar"/>
    <w:semiHidden/>
    <w:unhideWhenUsed/>
    <w:rsid w:val="00D542CD"/>
    <w:pPr>
      <w:spacing w:after="0" w:line="240" w:lineRule="auto"/>
    </w:pPr>
    <w:rPr>
      <w:rFonts w:ascii="Times New Roman" w:eastAsia="Times New Roman" w:hAnsi="Times New Roman" w:cs="Times New Roman"/>
      <w:sz w:val="28"/>
      <w:szCs w:val="24"/>
    </w:rPr>
  </w:style>
  <w:style w:type="character" w:customStyle="1" w:styleId="CorpodetextoChar">
    <w:name w:val="Corpo de texto Char"/>
    <w:basedOn w:val="Fontepargpadro"/>
    <w:link w:val="Corpodetexto"/>
    <w:semiHidden/>
    <w:rsid w:val="00D542CD"/>
    <w:rPr>
      <w:rFonts w:ascii="Times New Roman" w:eastAsia="Times New Roman" w:hAnsi="Times New Roman" w:cs="Times New Roman"/>
      <w:sz w:val="28"/>
      <w:szCs w:val="24"/>
      <w:lang w:eastAsia="pt-BR"/>
    </w:rPr>
  </w:style>
  <w:style w:type="paragraph" w:styleId="Cabealho">
    <w:name w:val="header"/>
    <w:basedOn w:val="Normal"/>
    <w:link w:val="CabealhoChar"/>
    <w:uiPriority w:val="99"/>
    <w:unhideWhenUsed/>
    <w:rsid w:val="00C40349"/>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uiPriority w:val="99"/>
    <w:rsid w:val="00C40349"/>
    <w:rPr>
      <w:rFonts w:ascii="Times New Roman" w:eastAsia="Times New Roman" w:hAnsi="Times New Roman" w:cs="Times New Roman"/>
      <w:sz w:val="24"/>
      <w:szCs w:val="24"/>
    </w:rPr>
  </w:style>
  <w:style w:type="paragraph" w:styleId="Rodap">
    <w:name w:val="footer"/>
    <w:basedOn w:val="Normal"/>
    <w:link w:val="RodapChar"/>
    <w:uiPriority w:val="99"/>
    <w:unhideWhenUsed/>
    <w:rsid w:val="00C40349"/>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uiPriority w:val="99"/>
    <w:rsid w:val="00C40349"/>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1C0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0BC2"/>
    <w:rPr>
      <w:rFonts w:ascii="Tahoma" w:hAnsi="Tahoma" w:cs="Tahoma"/>
      <w:sz w:val="16"/>
      <w:szCs w:val="16"/>
    </w:rPr>
  </w:style>
  <w:style w:type="paragraph" w:styleId="PargrafodaLista">
    <w:name w:val="List Paragraph"/>
    <w:basedOn w:val="Normal"/>
    <w:uiPriority w:val="34"/>
    <w:qFormat/>
    <w:rsid w:val="00EE686F"/>
    <w:pPr>
      <w:ind w:left="720"/>
      <w:contextualSpacing/>
    </w:pPr>
  </w:style>
  <w:style w:type="paragraph" w:customStyle="1" w:styleId="Default">
    <w:name w:val="Default"/>
    <w:rsid w:val="0043534F"/>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802042"/>
    <w:pPr>
      <w:spacing w:before="100" w:beforeAutospacing="1" w:after="100" w:afterAutospacing="1" w:line="384" w:lineRule="auto"/>
    </w:pPr>
    <w:rPr>
      <w:rFonts w:ascii="Times New Roman" w:eastAsia="Times New Roman" w:hAnsi="Times New Roman" w:cs="Times New Roman"/>
      <w:sz w:val="24"/>
      <w:szCs w:val="24"/>
    </w:rPr>
  </w:style>
  <w:style w:type="character" w:styleId="Forte">
    <w:name w:val="Strong"/>
    <w:basedOn w:val="Fontepargpadro"/>
    <w:uiPriority w:val="22"/>
    <w:qFormat/>
    <w:rsid w:val="00802042"/>
    <w:rPr>
      <w:b/>
      <w:bCs/>
    </w:rPr>
  </w:style>
  <w:style w:type="character" w:styleId="Hyperlink">
    <w:name w:val="Hyperlink"/>
    <w:basedOn w:val="Fontepargpadro"/>
    <w:uiPriority w:val="99"/>
    <w:unhideWhenUsed/>
    <w:rsid w:val="00802042"/>
    <w:rPr>
      <w:color w:val="0000FF" w:themeColor="hyperlink"/>
      <w:u w:val="single"/>
    </w:rPr>
  </w:style>
  <w:style w:type="paragraph" w:styleId="SemEspaamento">
    <w:name w:val="No Spacing"/>
    <w:aliases w:val="Tw Cen MT"/>
    <w:uiPriority w:val="1"/>
    <w:qFormat/>
    <w:rsid w:val="00EB5077"/>
    <w:pPr>
      <w:spacing w:after="0" w:line="240" w:lineRule="auto"/>
    </w:pPr>
  </w:style>
  <w:style w:type="character" w:customStyle="1" w:styleId="apple-converted-space">
    <w:name w:val="apple-converted-space"/>
    <w:basedOn w:val="Fontepargpadro"/>
    <w:rsid w:val="006364AA"/>
  </w:style>
  <w:style w:type="paragraph" w:styleId="TextosemFormatao">
    <w:name w:val="Plain Text"/>
    <w:basedOn w:val="Normal"/>
    <w:link w:val="TextosemFormataoChar"/>
    <w:uiPriority w:val="99"/>
    <w:unhideWhenUsed/>
    <w:rsid w:val="00843131"/>
    <w:pPr>
      <w:spacing w:after="0" w:line="240" w:lineRule="auto"/>
    </w:pPr>
    <w:rPr>
      <w:rFonts w:ascii="Calibri" w:eastAsiaTheme="minorHAnsi" w:hAnsi="Calibri"/>
      <w:szCs w:val="21"/>
      <w:lang w:eastAsia="en-US"/>
    </w:rPr>
  </w:style>
  <w:style w:type="character" w:customStyle="1" w:styleId="TextosemFormataoChar">
    <w:name w:val="Texto sem Formatação Char"/>
    <w:basedOn w:val="Fontepargpadro"/>
    <w:link w:val="TextosemFormatao"/>
    <w:uiPriority w:val="99"/>
    <w:rsid w:val="00843131"/>
    <w:rPr>
      <w:rFonts w:ascii="Calibri" w:eastAsiaTheme="minorHAnsi" w:hAnsi="Calibri"/>
      <w:szCs w:val="21"/>
      <w:lang w:eastAsia="en-US"/>
    </w:rPr>
  </w:style>
  <w:style w:type="table" w:styleId="Tabelacomgrade">
    <w:name w:val="Table Grid"/>
    <w:basedOn w:val="Tabelanormal"/>
    <w:uiPriority w:val="59"/>
    <w:rsid w:val="00E1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tlettext1">
    <w:name w:val="portlettext1"/>
    <w:basedOn w:val="Fontepargpadro"/>
    <w:rsid w:val="00D85282"/>
  </w:style>
  <w:style w:type="paragraph" w:customStyle="1" w:styleId="ms-element-p">
    <w:name w:val="ms-element-p"/>
    <w:basedOn w:val="Normal"/>
    <w:rsid w:val="00341F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098">
      <w:bodyDiv w:val="1"/>
      <w:marLeft w:val="0"/>
      <w:marRight w:val="0"/>
      <w:marTop w:val="0"/>
      <w:marBottom w:val="0"/>
      <w:divBdr>
        <w:top w:val="none" w:sz="0" w:space="0" w:color="auto"/>
        <w:left w:val="none" w:sz="0" w:space="0" w:color="auto"/>
        <w:bottom w:val="none" w:sz="0" w:space="0" w:color="auto"/>
        <w:right w:val="none" w:sz="0" w:space="0" w:color="auto"/>
      </w:divBdr>
    </w:div>
    <w:div w:id="8795615">
      <w:bodyDiv w:val="1"/>
      <w:marLeft w:val="0"/>
      <w:marRight w:val="0"/>
      <w:marTop w:val="0"/>
      <w:marBottom w:val="0"/>
      <w:divBdr>
        <w:top w:val="none" w:sz="0" w:space="0" w:color="auto"/>
        <w:left w:val="none" w:sz="0" w:space="0" w:color="auto"/>
        <w:bottom w:val="none" w:sz="0" w:space="0" w:color="auto"/>
        <w:right w:val="none" w:sz="0" w:space="0" w:color="auto"/>
      </w:divBdr>
    </w:div>
    <w:div w:id="49962140">
      <w:bodyDiv w:val="1"/>
      <w:marLeft w:val="0"/>
      <w:marRight w:val="0"/>
      <w:marTop w:val="0"/>
      <w:marBottom w:val="0"/>
      <w:divBdr>
        <w:top w:val="none" w:sz="0" w:space="0" w:color="auto"/>
        <w:left w:val="none" w:sz="0" w:space="0" w:color="auto"/>
        <w:bottom w:val="none" w:sz="0" w:space="0" w:color="auto"/>
        <w:right w:val="none" w:sz="0" w:space="0" w:color="auto"/>
      </w:divBdr>
    </w:div>
    <w:div w:id="209537319">
      <w:bodyDiv w:val="1"/>
      <w:marLeft w:val="0"/>
      <w:marRight w:val="0"/>
      <w:marTop w:val="0"/>
      <w:marBottom w:val="0"/>
      <w:divBdr>
        <w:top w:val="none" w:sz="0" w:space="0" w:color="auto"/>
        <w:left w:val="none" w:sz="0" w:space="0" w:color="auto"/>
        <w:bottom w:val="none" w:sz="0" w:space="0" w:color="auto"/>
        <w:right w:val="none" w:sz="0" w:space="0" w:color="auto"/>
      </w:divBdr>
    </w:div>
    <w:div w:id="304242641">
      <w:bodyDiv w:val="1"/>
      <w:marLeft w:val="0"/>
      <w:marRight w:val="0"/>
      <w:marTop w:val="0"/>
      <w:marBottom w:val="0"/>
      <w:divBdr>
        <w:top w:val="none" w:sz="0" w:space="0" w:color="auto"/>
        <w:left w:val="none" w:sz="0" w:space="0" w:color="auto"/>
        <w:bottom w:val="none" w:sz="0" w:space="0" w:color="auto"/>
        <w:right w:val="none" w:sz="0" w:space="0" w:color="auto"/>
      </w:divBdr>
    </w:div>
    <w:div w:id="416753941">
      <w:bodyDiv w:val="1"/>
      <w:marLeft w:val="0"/>
      <w:marRight w:val="0"/>
      <w:marTop w:val="0"/>
      <w:marBottom w:val="0"/>
      <w:divBdr>
        <w:top w:val="none" w:sz="0" w:space="0" w:color="auto"/>
        <w:left w:val="none" w:sz="0" w:space="0" w:color="auto"/>
        <w:bottom w:val="none" w:sz="0" w:space="0" w:color="auto"/>
        <w:right w:val="none" w:sz="0" w:space="0" w:color="auto"/>
      </w:divBdr>
    </w:div>
    <w:div w:id="454907904">
      <w:bodyDiv w:val="1"/>
      <w:marLeft w:val="0"/>
      <w:marRight w:val="0"/>
      <w:marTop w:val="0"/>
      <w:marBottom w:val="0"/>
      <w:divBdr>
        <w:top w:val="none" w:sz="0" w:space="0" w:color="auto"/>
        <w:left w:val="none" w:sz="0" w:space="0" w:color="auto"/>
        <w:bottom w:val="none" w:sz="0" w:space="0" w:color="auto"/>
        <w:right w:val="none" w:sz="0" w:space="0" w:color="auto"/>
      </w:divBdr>
    </w:div>
    <w:div w:id="497963347">
      <w:bodyDiv w:val="1"/>
      <w:marLeft w:val="0"/>
      <w:marRight w:val="0"/>
      <w:marTop w:val="0"/>
      <w:marBottom w:val="0"/>
      <w:divBdr>
        <w:top w:val="none" w:sz="0" w:space="0" w:color="auto"/>
        <w:left w:val="none" w:sz="0" w:space="0" w:color="auto"/>
        <w:bottom w:val="none" w:sz="0" w:space="0" w:color="auto"/>
        <w:right w:val="none" w:sz="0" w:space="0" w:color="auto"/>
      </w:divBdr>
    </w:div>
    <w:div w:id="542255115">
      <w:bodyDiv w:val="1"/>
      <w:marLeft w:val="0"/>
      <w:marRight w:val="0"/>
      <w:marTop w:val="0"/>
      <w:marBottom w:val="0"/>
      <w:divBdr>
        <w:top w:val="none" w:sz="0" w:space="0" w:color="auto"/>
        <w:left w:val="none" w:sz="0" w:space="0" w:color="auto"/>
        <w:bottom w:val="none" w:sz="0" w:space="0" w:color="auto"/>
        <w:right w:val="none" w:sz="0" w:space="0" w:color="auto"/>
      </w:divBdr>
    </w:div>
    <w:div w:id="607858228">
      <w:bodyDiv w:val="1"/>
      <w:marLeft w:val="0"/>
      <w:marRight w:val="0"/>
      <w:marTop w:val="0"/>
      <w:marBottom w:val="0"/>
      <w:divBdr>
        <w:top w:val="none" w:sz="0" w:space="0" w:color="auto"/>
        <w:left w:val="none" w:sz="0" w:space="0" w:color="auto"/>
        <w:bottom w:val="none" w:sz="0" w:space="0" w:color="auto"/>
        <w:right w:val="none" w:sz="0" w:space="0" w:color="auto"/>
      </w:divBdr>
    </w:div>
    <w:div w:id="645353525">
      <w:bodyDiv w:val="1"/>
      <w:marLeft w:val="0"/>
      <w:marRight w:val="0"/>
      <w:marTop w:val="0"/>
      <w:marBottom w:val="0"/>
      <w:divBdr>
        <w:top w:val="none" w:sz="0" w:space="0" w:color="auto"/>
        <w:left w:val="none" w:sz="0" w:space="0" w:color="auto"/>
        <w:bottom w:val="none" w:sz="0" w:space="0" w:color="auto"/>
        <w:right w:val="none" w:sz="0" w:space="0" w:color="auto"/>
      </w:divBdr>
      <w:divsChild>
        <w:div w:id="1575244119">
          <w:marLeft w:val="0"/>
          <w:marRight w:val="0"/>
          <w:marTop w:val="2"/>
          <w:marBottom w:val="2"/>
          <w:divBdr>
            <w:top w:val="none" w:sz="0" w:space="0" w:color="auto"/>
            <w:left w:val="none" w:sz="0" w:space="0" w:color="auto"/>
            <w:bottom w:val="none" w:sz="0" w:space="0" w:color="auto"/>
            <w:right w:val="none" w:sz="0" w:space="0" w:color="auto"/>
          </w:divBdr>
          <w:divsChild>
            <w:div w:id="363753073">
              <w:marLeft w:val="0"/>
              <w:marRight w:val="0"/>
              <w:marTop w:val="0"/>
              <w:marBottom w:val="0"/>
              <w:divBdr>
                <w:top w:val="none" w:sz="0" w:space="0" w:color="auto"/>
                <w:left w:val="none" w:sz="0" w:space="0" w:color="auto"/>
                <w:bottom w:val="none" w:sz="0" w:space="0" w:color="auto"/>
                <w:right w:val="none" w:sz="0" w:space="0" w:color="auto"/>
              </w:divBdr>
              <w:divsChild>
                <w:div w:id="435292803">
                  <w:marLeft w:val="0"/>
                  <w:marRight w:val="0"/>
                  <w:marTop w:val="0"/>
                  <w:marBottom w:val="150"/>
                  <w:divBdr>
                    <w:top w:val="none" w:sz="0" w:space="0" w:color="auto"/>
                    <w:left w:val="none" w:sz="0" w:space="0" w:color="auto"/>
                    <w:bottom w:val="single" w:sz="6" w:space="4" w:color="EEEEEE"/>
                    <w:right w:val="none" w:sz="0" w:space="0" w:color="auto"/>
                  </w:divBdr>
                </w:div>
              </w:divsChild>
            </w:div>
          </w:divsChild>
        </w:div>
      </w:divsChild>
    </w:div>
    <w:div w:id="682822011">
      <w:bodyDiv w:val="1"/>
      <w:marLeft w:val="0"/>
      <w:marRight w:val="0"/>
      <w:marTop w:val="0"/>
      <w:marBottom w:val="0"/>
      <w:divBdr>
        <w:top w:val="none" w:sz="0" w:space="0" w:color="auto"/>
        <w:left w:val="none" w:sz="0" w:space="0" w:color="auto"/>
        <w:bottom w:val="none" w:sz="0" w:space="0" w:color="auto"/>
        <w:right w:val="none" w:sz="0" w:space="0" w:color="auto"/>
      </w:divBdr>
    </w:div>
    <w:div w:id="726532837">
      <w:bodyDiv w:val="1"/>
      <w:marLeft w:val="0"/>
      <w:marRight w:val="0"/>
      <w:marTop w:val="0"/>
      <w:marBottom w:val="0"/>
      <w:divBdr>
        <w:top w:val="none" w:sz="0" w:space="0" w:color="auto"/>
        <w:left w:val="none" w:sz="0" w:space="0" w:color="auto"/>
        <w:bottom w:val="none" w:sz="0" w:space="0" w:color="auto"/>
        <w:right w:val="none" w:sz="0" w:space="0" w:color="auto"/>
      </w:divBdr>
    </w:div>
    <w:div w:id="743795394">
      <w:bodyDiv w:val="1"/>
      <w:marLeft w:val="0"/>
      <w:marRight w:val="0"/>
      <w:marTop w:val="0"/>
      <w:marBottom w:val="0"/>
      <w:divBdr>
        <w:top w:val="none" w:sz="0" w:space="0" w:color="auto"/>
        <w:left w:val="none" w:sz="0" w:space="0" w:color="auto"/>
        <w:bottom w:val="none" w:sz="0" w:space="0" w:color="auto"/>
        <w:right w:val="none" w:sz="0" w:space="0" w:color="auto"/>
      </w:divBdr>
    </w:div>
    <w:div w:id="830676610">
      <w:bodyDiv w:val="1"/>
      <w:marLeft w:val="0"/>
      <w:marRight w:val="0"/>
      <w:marTop w:val="0"/>
      <w:marBottom w:val="0"/>
      <w:divBdr>
        <w:top w:val="none" w:sz="0" w:space="0" w:color="auto"/>
        <w:left w:val="none" w:sz="0" w:space="0" w:color="auto"/>
        <w:bottom w:val="none" w:sz="0" w:space="0" w:color="auto"/>
        <w:right w:val="none" w:sz="0" w:space="0" w:color="auto"/>
      </w:divBdr>
    </w:div>
    <w:div w:id="868952054">
      <w:bodyDiv w:val="1"/>
      <w:marLeft w:val="0"/>
      <w:marRight w:val="0"/>
      <w:marTop w:val="0"/>
      <w:marBottom w:val="0"/>
      <w:divBdr>
        <w:top w:val="none" w:sz="0" w:space="0" w:color="auto"/>
        <w:left w:val="none" w:sz="0" w:space="0" w:color="auto"/>
        <w:bottom w:val="none" w:sz="0" w:space="0" w:color="auto"/>
        <w:right w:val="none" w:sz="0" w:space="0" w:color="auto"/>
      </w:divBdr>
    </w:div>
    <w:div w:id="886066378">
      <w:bodyDiv w:val="1"/>
      <w:marLeft w:val="0"/>
      <w:marRight w:val="0"/>
      <w:marTop w:val="0"/>
      <w:marBottom w:val="0"/>
      <w:divBdr>
        <w:top w:val="none" w:sz="0" w:space="0" w:color="auto"/>
        <w:left w:val="none" w:sz="0" w:space="0" w:color="auto"/>
        <w:bottom w:val="none" w:sz="0" w:space="0" w:color="auto"/>
        <w:right w:val="none" w:sz="0" w:space="0" w:color="auto"/>
      </w:divBdr>
    </w:div>
    <w:div w:id="890994334">
      <w:bodyDiv w:val="1"/>
      <w:marLeft w:val="0"/>
      <w:marRight w:val="0"/>
      <w:marTop w:val="0"/>
      <w:marBottom w:val="0"/>
      <w:divBdr>
        <w:top w:val="none" w:sz="0" w:space="0" w:color="auto"/>
        <w:left w:val="none" w:sz="0" w:space="0" w:color="auto"/>
        <w:bottom w:val="none" w:sz="0" w:space="0" w:color="auto"/>
        <w:right w:val="none" w:sz="0" w:space="0" w:color="auto"/>
      </w:divBdr>
    </w:div>
    <w:div w:id="935013557">
      <w:bodyDiv w:val="1"/>
      <w:marLeft w:val="0"/>
      <w:marRight w:val="0"/>
      <w:marTop w:val="0"/>
      <w:marBottom w:val="0"/>
      <w:divBdr>
        <w:top w:val="none" w:sz="0" w:space="0" w:color="auto"/>
        <w:left w:val="none" w:sz="0" w:space="0" w:color="auto"/>
        <w:bottom w:val="none" w:sz="0" w:space="0" w:color="auto"/>
        <w:right w:val="none" w:sz="0" w:space="0" w:color="auto"/>
      </w:divBdr>
    </w:div>
    <w:div w:id="944119143">
      <w:bodyDiv w:val="1"/>
      <w:marLeft w:val="0"/>
      <w:marRight w:val="0"/>
      <w:marTop w:val="0"/>
      <w:marBottom w:val="0"/>
      <w:divBdr>
        <w:top w:val="none" w:sz="0" w:space="0" w:color="auto"/>
        <w:left w:val="none" w:sz="0" w:space="0" w:color="auto"/>
        <w:bottom w:val="none" w:sz="0" w:space="0" w:color="auto"/>
        <w:right w:val="none" w:sz="0" w:space="0" w:color="auto"/>
      </w:divBdr>
    </w:div>
    <w:div w:id="1082021956">
      <w:bodyDiv w:val="1"/>
      <w:marLeft w:val="0"/>
      <w:marRight w:val="0"/>
      <w:marTop w:val="0"/>
      <w:marBottom w:val="0"/>
      <w:divBdr>
        <w:top w:val="none" w:sz="0" w:space="0" w:color="auto"/>
        <w:left w:val="none" w:sz="0" w:space="0" w:color="auto"/>
        <w:bottom w:val="none" w:sz="0" w:space="0" w:color="auto"/>
        <w:right w:val="none" w:sz="0" w:space="0" w:color="auto"/>
      </w:divBdr>
    </w:div>
    <w:div w:id="1096364989">
      <w:bodyDiv w:val="1"/>
      <w:marLeft w:val="0"/>
      <w:marRight w:val="0"/>
      <w:marTop w:val="0"/>
      <w:marBottom w:val="0"/>
      <w:divBdr>
        <w:top w:val="none" w:sz="0" w:space="0" w:color="auto"/>
        <w:left w:val="none" w:sz="0" w:space="0" w:color="auto"/>
        <w:bottom w:val="none" w:sz="0" w:space="0" w:color="auto"/>
        <w:right w:val="none" w:sz="0" w:space="0" w:color="auto"/>
      </w:divBdr>
    </w:div>
    <w:div w:id="1113288335">
      <w:bodyDiv w:val="1"/>
      <w:marLeft w:val="0"/>
      <w:marRight w:val="0"/>
      <w:marTop w:val="0"/>
      <w:marBottom w:val="0"/>
      <w:divBdr>
        <w:top w:val="none" w:sz="0" w:space="0" w:color="auto"/>
        <w:left w:val="none" w:sz="0" w:space="0" w:color="auto"/>
        <w:bottom w:val="none" w:sz="0" w:space="0" w:color="auto"/>
        <w:right w:val="none" w:sz="0" w:space="0" w:color="auto"/>
      </w:divBdr>
    </w:div>
    <w:div w:id="1134643722">
      <w:bodyDiv w:val="1"/>
      <w:marLeft w:val="0"/>
      <w:marRight w:val="0"/>
      <w:marTop w:val="0"/>
      <w:marBottom w:val="0"/>
      <w:divBdr>
        <w:top w:val="none" w:sz="0" w:space="0" w:color="auto"/>
        <w:left w:val="none" w:sz="0" w:space="0" w:color="auto"/>
        <w:bottom w:val="none" w:sz="0" w:space="0" w:color="auto"/>
        <w:right w:val="none" w:sz="0" w:space="0" w:color="auto"/>
      </w:divBdr>
    </w:div>
    <w:div w:id="1259143730">
      <w:bodyDiv w:val="1"/>
      <w:marLeft w:val="0"/>
      <w:marRight w:val="0"/>
      <w:marTop w:val="0"/>
      <w:marBottom w:val="0"/>
      <w:divBdr>
        <w:top w:val="none" w:sz="0" w:space="0" w:color="auto"/>
        <w:left w:val="none" w:sz="0" w:space="0" w:color="auto"/>
        <w:bottom w:val="none" w:sz="0" w:space="0" w:color="auto"/>
        <w:right w:val="none" w:sz="0" w:space="0" w:color="auto"/>
      </w:divBdr>
    </w:div>
    <w:div w:id="1282758414">
      <w:bodyDiv w:val="1"/>
      <w:marLeft w:val="0"/>
      <w:marRight w:val="0"/>
      <w:marTop w:val="0"/>
      <w:marBottom w:val="0"/>
      <w:divBdr>
        <w:top w:val="none" w:sz="0" w:space="0" w:color="auto"/>
        <w:left w:val="none" w:sz="0" w:space="0" w:color="auto"/>
        <w:bottom w:val="none" w:sz="0" w:space="0" w:color="auto"/>
        <w:right w:val="none" w:sz="0" w:space="0" w:color="auto"/>
      </w:divBdr>
    </w:div>
    <w:div w:id="1465613308">
      <w:bodyDiv w:val="1"/>
      <w:marLeft w:val="0"/>
      <w:marRight w:val="0"/>
      <w:marTop w:val="0"/>
      <w:marBottom w:val="0"/>
      <w:divBdr>
        <w:top w:val="none" w:sz="0" w:space="0" w:color="auto"/>
        <w:left w:val="none" w:sz="0" w:space="0" w:color="auto"/>
        <w:bottom w:val="none" w:sz="0" w:space="0" w:color="auto"/>
        <w:right w:val="none" w:sz="0" w:space="0" w:color="auto"/>
      </w:divBdr>
    </w:div>
    <w:div w:id="1591280683">
      <w:bodyDiv w:val="1"/>
      <w:marLeft w:val="0"/>
      <w:marRight w:val="0"/>
      <w:marTop w:val="0"/>
      <w:marBottom w:val="0"/>
      <w:divBdr>
        <w:top w:val="none" w:sz="0" w:space="0" w:color="auto"/>
        <w:left w:val="none" w:sz="0" w:space="0" w:color="auto"/>
        <w:bottom w:val="none" w:sz="0" w:space="0" w:color="auto"/>
        <w:right w:val="none" w:sz="0" w:space="0" w:color="auto"/>
      </w:divBdr>
    </w:div>
    <w:div w:id="1648241078">
      <w:bodyDiv w:val="1"/>
      <w:marLeft w:val="0"/>
      <w:marRight w:val="0"/>
      <w:marTop w:val="0"/>
      <w:marBottom w:val="0"/>
      <w:divBdr>
        <w:top w:val="none" w:sz="0" w:space="0" w:color="auto"/>
        <w:left w:val="none" w:sz="0" w:space="0" w:color="auto"/>
        <w:bottom w:val="none" w:sz="0" w:space="0" w:color="auto"/>
        <w:right w:val="none" w:sz="0" w:space="0" w:color="auto"/>
      </w:divBdr>
    </w:div>
    <w:div w:id="1901012948">
      <w:bodyDiv w:val="1"/>
      <w:marLeft w:val="0"/>
      <w:marRight w:val="0"/>
      <w:marTop w:val="0"/>
      <w:marBottom w:val="0"/>
      <w:divBdr>
        <w:top w:val="none" w:sz="0" w:space="0" w:color="auto"/>
        <w:left w:val="none" w:sz="0" w:space="0" w:color="auto"/>
        <w:bottom w:val="none" w:sz="0" w:space="0" w:color="auto"/>
        <w:right w:val="none" w:sz="0" w:space="0" w:color="auto"/>
      </w:divBdr>
    </w:div>
    <w:div w:id="1964923241">
      <w:bodyDiv w:val="1"/>
      <w:marLeft w:val="0"/>
      <w:marRight w:val="0"/>
      <w:marTop w:val="0"/>
      <w:marBottom w:val="0"/>
      <w:divBdr>
        <w:top w:val="none" w:sz="0" w:space="0" w:color="auto"/>
        <w:left w:val="none" w:sz="0" w:space="0" w:color="auto"/>
        <w:bottom w:val="none" w:sz="0" w:space="0" w:color="auto"/>
        <w:right w:val="none" w:sz="0" w:space="0" w:color="auto"/>
      </w:divBdr>
    </w:div>
    <w:div w:id="1966351500">
      <w:bodyDiv w:val="1"/>
      <w:marLeft w:val="0"/>
      <w:marRight w:val="0"/>
      <w:marTop w:val="0"/>
      <w:marBottom w:val="0"/>
      <w:divBdr>
        <w:top w:val="none" w:sz="0" w:space="0" w:color="auto"/>
        <w:left w:val="none" w:sz="0" w:space="0" w:color="auto"/>
        <w:bottom w:val="none" w:sz="0" w:space="0" w:color="auto"/>
        <w:right w:val="none" w:sz="0" w:space="0" w:color="auto"/>
      </w:divBdr>
    </w:div>
    <w:div w:id="1978415628">
      <w:bodyDiv w:val="1"/>
      <w:marLeft w:val="0"/>
      <w:marRight w:val="0"/>
      <w:marTop w:val="0"/>
      <w:marBottom w:val="0"/>
      <w:divBdr>
        <w:top w:val="none" w:sz="0" w:space="0" w:color="auto"/>
        <w:left w:val="none" w:sz="0" w:space="0" w:color="auto"/>
        <w:bottom w:val="none" w:sz="0" w:space="0" w:color="auto"/>
        <w:right w:val="none" w:sz="0" w:space="0" w:color="auto"/>
      </w:divBdr>
    </w:div>
    <w:div w:id="2013491115">
      <w:bodyDiv w:val="1"/>
      <w:marLeft w:val="0"/>
      <w:marRight w:val="0"/>
      <w:marTop w:val="0"/>
      <w:marBottom w:val="0"/>
      <w:divBdr>
        <w:top w:val="none" w:sz="0" w:space="0" w:color="auto"/>
        <w:left w:val="none" w:sz="0" w:space="0" w:color="auto"/>
        <w:bottom w:val="none" w:sz="0" w:space="0" w:color="auto"/>
        <w:right w:val="none" w:sz="0" w:space="0" w:color="auto"/>
      </w:divBdr>
    </w:div>
    <w:div w:id="21326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window.location=getPath()+'/ForwardAction.do?modulo=proposta&amp;path=/SelecionarConvenio/SelecionarConvenio.do?destino=CancelarMovimentacaoFinanceira'" TargetMode="External"/><Relationship Id="rId18" Type="http://schemas.openxmlformats.org/officeDocument/2006/relationships/hyperlink" Target="javascript:window.location=getPath()+'/ForwardAction.do?modulo=Principal&amp;path=/MostraPrincipalIncluirNotasFiscais.d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javascript:window.location=getPath()+'/ForwardAction.do?modulo=proposta&amp;path=/SelecionarConvenio/SelecionarConvenio.do?destino=ListarPagamentosConvenio'" TargetMode="External"/><Relationship Id="rId7" Type="http://schemas.openxmlformats.org/officeDocument/2006/relationships/endnotes" Target="endnotes.xml"/><Relationship Id="rId12" Type="http://schemas.openxmlformats.org/officeDocument/2006/relationships/hyperlink" Target="javascript:window.location=getPath()+'/ForwardAction.do?modulo=proposta&amp;path=/SelecionarConvenio/SelecionarConvenio.do?destino=ManterCredor'" TargetMode="External"/><Relationship Id="rId17" Type="http://schemas.openxmlformats.org/officeDocument/2006/relationships/hyperlink" Target="javascript:window.location=getPath()+'/ForwardAction.do?modulo=proposta&amp;path=/SelecionarConvenio/SelecionarConvenio.do?destino=ExtratoBancarioConvenio'"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javascript:window.location=getPath()+'/ForwardAction.do?modulo=proposta&amp;path=/SelecionarConvenio/SelecionarConvenio.do?destino=ManterConciliacaoBancaria'" TargetMode="External"/><Relationship Id="rId20" Type="http://schemas.openxmlformats.org/officeDocument/2006/relationships/hyperlink" Target="javascript:window.location=getPath()+'/ForwardAction.do?modulo=Principal&amp;path=/MostraPrincipalDefinirOrdenadorDespesaOBTV.d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indow.location=getPath()+'/ForwardAction.do?modulo=proposta&amp;path=/SelecionarConvenio/SelecionarConvenio.do?destino=AutorizarMovimentacaoFinanceira'"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javascript:window.location=getPath()+'/ForwardAction.do?modulo=proposta&amp;path=/SelecionarConvenio/SelecionarConvenio.do?destino=ComplementarDadosCambioParaOBTVDocumentoLiquidacao'" TargetMode="External"/><Relationship Id="rId23" Type="http://schemas.openxmlformats.org/officeDocument/2006/relationships/hyperlink" Target="javascript:window.location=getPath()+'/ForwardAction.do?modulo=proposta&amp;path=/SelecionarConvenio/SelecionarConvenio.do?destino=ManterPagamentoTributo'"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javascript:window.location=getPath()+'/ForwardAction.do?modulo=proposta&amp;path=/SelecionarConvenio/SelecionarConvenio.do?destino=ManterMovimentacaoFinanceir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javascript:window.location=getPath()+'/ForwardAction.do?modulo=proposta&amp;path=/SelecionarConvenio/SelecionarConvenio.do?destino=ClassificarIngressoRecurso'" TargetMode="External"/><Relationship Id="rId22" Type="http://schemas.openxmlformats.org/officeDocument/2006/relationships/hyperlink" Target="javascript:window.location=getPath()+'/ForwardAction.do?modulo=proposta&amp;path=/SelecionarConvenio/SelecionarConvenio.do?destino=ManterPagamentoConvenioOb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4ECE-1570-43C0-91FD-672BD72E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7060</TotalTime>
  <Pages>21</Pages>
  <Words>5537</Words>
  <Characters>29904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Eliete Torres da Silva Rodrigues</cp:lastModifiedBy>
  <cp:revision>11</cp:revision>
  <cp:lastPrinted>2019-02-06T12:57:00Z</cp:lastPrinted>
  <dcterms:created xsi:type="dcterms:W3CDTF">2019-01-28T10:24:00Z</dcterms:created>
  <dcterms:modified xsi:type="dcterms:W3CDTF">2019-02-06T12:57:00Z</dcterms:modified>
</cp:coreProperties>
</file>