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BF" w:rsidRDefault="007A5ABF">
      <w:pPr>
        <w:rPr>
          <w:rFonts w:ascii="Times New Roman" w:hAnsi="Times New Roman" w:cs="Times New Roman"/>
          <w:sz w:val="24"/>
          <w:szCs w:val="24"/>
        </w:rPr>
      </w:pPr>
      <w:r w:rsidRPr="009C7591">
        <w:rPr>
          <w:rFonts w:ascii="Times New Roman" w:hAnsi="Times New Roman" w:cs="Times New Roman"/>
          <w:b/>
          <w:sz w:val="24"/>
          <w:szCs w:val="24"/>
          <w:u w:val="single"/>
        </w:rPr>
        <w:t>SÚMULA n.º 19:</w:t>
      </w:r>
      <w:r w:rsidRPr="007A5ABF">
        <w:rPr>
          <w:rFonts w:ascii="Times New Roman" w:hAnsi="Times New Roman" w:cs="Times New Roman"/>
          <w:sz w:val="24"/>
          <w:szCs w:val="24"/>
        </w:rPr>
        <w:t xml:space="preserve"> “Não há necessidade de homologação pelo Conselho Superior de todos os procedimentos instaurados com base no art. 201, V e VI, do Estatuto da Criança e do Adolescente, mas somente daqueles que contenham matéria a qual, em tese, trate de lesão ou ameaça de lesão a interesses difusos, coletivos ou individuais homogêneos relativos à proteção de crianças e adolescentes.”</w:t>
      </w:r>
    </w:p>
    <w:p w:rsidR="007A5ABF" w:rsidRPr="007A5ABF" w:rsidRDefault="007A5ABF">
      <w:pPr>
        <w:rPr>
          <w:rFonts w:ascii="Times New Roman" w:hAnsi="Times New Roman" w:cs="Times New Roman"/>
          <w:sz w:val="24"/>
          <w:szCs w:val="24"/>
        </w:rPr>
      </w:pPr>
      <w:r w:rsidRPr="009C7591">
        <w:rPr>
          <w:rFonts w:ascii="Times New Roman" w:hAnsi="Times New Roman" w:cs="Times New Roman"/>
          <w:b/>
          <w:sz w:val="24"/>
          <w:szCs w:val="24"/>
          <w:u w:val="single"/>
        </w:rPr>
        <w:t xml:space="preserve"> Fundamento:</w:t>
      </w:r>
      <w:r w:rsidRPr="007A5ABF">
        <w:rPr>
          <w:rFonts w:ascii="Times New Roman" w:hAnsi="Times New Roman" w:cs="Times New Roman"/>
          <w:sz w:val="24"/>
          <w:szCs w:val="24"/>
        </w:rPr>
        <w:t xml:space="preserve"> Além da legitimidade à tutela dos interesses difusos, coletivos e individuais homogêneos de crianças e adolescentes, o art. 201 da Lei nº 8.069/90 (ECA) legitima o Ministério Público para a propositura de ação civil visando à defesa de interesse individual, indisponível e puro de tais pessoas. Entretanto, somente os procedimentos administrativos que tratem de lesão a interesses difusos, coletivos ou </w:t>
      </w:r>
      <w:proofErr w:type="gramStart"/>
      <w:r w:rsidRPr="007A5ABF">
        <w:rPr>
          <w:rFonts w:ascii="Times New Roman" w:hAnsi="Times New Roman" w:cs="Times New Roman"/>
          <w:sz w:val="24"/>
          <w:szCs w:val="24"/>
        </w:rPr>
        <w:t>individuais</w:t>
      </w:r>
      <w:proofErr w:type="gramEnd"/>
      <w:r w:rsidRPr="007A5ABF">
        <w:rPr>
          <w:rFonts w:ascii="Times New Roman" w:hAnsi="Times New Roman" w:cs="Times New Roman"/>
          <w:sz w:val="24"/>
          <w:szCs w:val="24"/>
        </w:rPr>
        <w:t xml:space="preserve"> homogêneos relativos à proteção de crianças e adolescentes estarão sujeitos à homologação do Conselho Superior, na forma do art. 223 do ECA (</w:t>
      </w:r>
      <w:proofErr w:type="spellStart"/>
      <w:r w:rsidRPr="007A5AB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A5ABF">
        <w:rPr>
          <w:rFonts w:ascii="Times New Roman" w:hAnsi="Times New Roman" w:cs="Times New Roman"/>
          <w:sz w:val="24"/>
          <w:szCs w:val="24"/>
        </w:rPr>
        <w:t>. n.º 7.151/94 e 8.312/94).</w:t>
      </w:r>
    </w:p>
    <w:sectPr w:rsidR="007A5ABF" w:rsidRPr="007A5ABF" w:rsidSect="00D91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5ABF"/>
    <w:rsid w:val="001575CC"/>
    <w:rsid w:val="005776AE"/>
    <w:rsid w:val="0061416A"/>
    <w:rsid w:val="0067428B"/>
    <w:rsid w:val="007A5ABF"/>
    <w:rsid w:val="008340BB"/>
    <w:rsid w:val="008400B4"/>
    <w:rsid w:val="009C7591"/>
    <w:rsid w:val="00B91EB8"/>
    <w:rsid w:val="00D9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after="480"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2017-10-09T21:08:00Z</dcterms:created>
  <dcterms:modified xsi:type="dcterms:W3CDTF">2017-10-09T21:42:00Z</dcterms:modified>
</cp:coreProperties>
</file>