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D" w:rsidRDefault="00E31CCD" w:rsidP="000B6B59">
      <w:pPr>
        <w:pStyle w:val="Default"/>
        <w:jc w:val="center"/>
      </w:pPr>
      <w:r>
        <w:rPr>
          <w:b/>
          <w:bCs/>
          <w:sz w:val="32"/>
          <w:szCs w:val="32"/>
        </w:rPr>
        <w:t>STJ nega aplicação do novo Código Florestal a fato ocorrido antes de sua vigência</w:t>
      </w:r>
    </w:p>
    <w:p w:rsidR="00E31CCD" w:rsidRDefault="00E31CCD" w:rsidP="00E31CCD">
      <w:pPr>
        <w:pStyle w:val="Default"/>
      </w:pPr>
    </w:p>
    <w:p w:rsidR="00E31CCD" w:rsidRDefault="00E31CCD" w:rsidP="00E31CCD">
      <w:pPr>
        <w:pStyle w:val="Default"/>
      </w:pPr>
    </w:p>
    <w:p w:rsidR="00E31CCD" w:rsidRDefault="00E31CCD" w:rsidP="000B6B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2.ª Turma do Superior Tribunal de Justiça manteve auto de infração do IBAMA, negando a aplicação da Lei 12.651/2012 a fatos ocorridos sob a égide da Lei 4.771/1965 (Código Florestal revogado), sob o argumento da intangibilidade do ato jurídico perfeito e irretroatividade da lei nova. A decisão, publicada no Diário da Justiça eletrônico em 19 de dezembro de 2012, foi proferida no dia 2 de outubro de 2012 no Recurso Especial nº. 1.240.122-PR, tendo como relator o Ministro </w:t>
      </w:r>
      <w:proofErr w:type="spellStart"/>
      <w:r>
        <w:rPr>
          <w:sz w:val="26"/>
          <w:szCs w:val="26"/>
        </w:rPr>
        <w:t>Herman</w:t>
      </w:r>
      <w:proofErr w:type="spellEnd"/>
      <w:r>
        <w:rPr>
          <w:sz w:val="26"/>
          <w:szCs w:val="26"/>
        </w:rPr>
        <w:t xml:space="preserve"> Benjamin. </w:t>
      </w:r>
    </w:p>
    <w:p w:rsidR="00E31CCD" w:rsidRDefault="00E31CCD" w:rsidP="000B6B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 bojo de “ação de anulação de ato cumulada com ação indenizatória”, um proprietário rural do Paraná sustentou falta de interesse de agir superveniente do </w:t>
      </w:r>
      <w:proofErr w:type="spellStart"/>
      <w:proofErr w:type="gramStart"/>
      <w:r>
        <w:rPr>
          <w:sz w:val="26"/>
          <w:szCs w:val="26"/>
        </w:rPr>
        <w:t>Ibama</w:t>
      </w:r>
      <w:proofErr w:type="spellEnd"/>
      <w:proofErr w:type="gramEnd"/>
      <w:r>
        <w:rPr>
          <w:sz w:val="26"/>
          <w:szCs w:val="26"/>
        </w:rPr>
        <w:t xml:space="preserve">, em razão da entrada em vigor da Lei 12.651/2012 (novo Código Florestal), que revogou o Código Florestal de 1965 (Lei 4.771) e a Lei 7.754/1989. Argumentou que a nova legislação “o isentou da punição que o afligia”, e que “seu ato não representa mais ilícito algum”, estando, pois, “livre das punições impostas” por ocupação e exploração irregulares, anteriores a julho de 2008, de Área de Preservação Permanente nas margens do rio Santo Antônio. </w:t>
      </w:r>
    </w:p>
    <w:p w:rsidR="00E31CCD" w:rsidRDefault="00E31CCD" w:rsidP="000B6B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“Ao contrário do alegado, no novo Código Florestal (art. 59) não se encontra a anistia universal e incondicionada pretendida pelo proprietário rural, de maneira a extinguir ou apagar os efeitos dos atos ilícitos </w:t>
      </w:r>
      <w:proofErr w:type="gramStart"/>
      <w:r>
        <w:rPr>
          <w:sz w:val="26"/>
          <w:szCs w:val="26"/>
        </w:rPr>
        <w:t xml:space="preserve">praticados anteriormente a 22 de julho de 2008 e a implicar, </w:t>
      </w:r>
      <w:proofErr w:type="spellStart"/>
      <w:r>
        <w:rPr>
          <w:sz w:val="26"/>
          <w:szCs w:val="26"/>
        </w:rPr>
        <w:t>consequentemente</w:t>
      </w:r>
      <w:proofErr w:type="spellEnd"/>
      <w:r>
        <w:rPr>
          <w:sz w:val="26"/>
          <w:szCs w:val="26"/>
        </w:rPr>
        <w:t>, automática</w:t>
      </w:r>
      <w:proofErr w:type="gramEnd"/>
      <w:r>
        <w:rPr>
          <w:sz w:val="26"/>
          <w:szCs w:val="26"/>
        </w:rPr>
        <w:t xml:space="preserve"> perda superveniente de interesse de agir”, decidiu, em seu voto, o relator. “Ao contrário, o art. 59 mostra-se claríssimo no sentido de que a recuperação do meio ambiente degradado nas chamadas </w:t>
      </w:r>
      <w:r>
        <w:rPr>
          <w:i/>
          <w:iCs/>
          <w:sz w:val="26"/>
          <w:szCs w:val="26"/>
        </w:rPr>
        <w:t xml:space="preserve">áreas rurais consolidadas </w:t>
      </w:r>
      <w:r>
        <w:rPr>
          <w:sz w:val="26"/>
          <w:szCs w:val="26"/>
        </w:rPr>
        <w:t xml:space="preserve">continua de rigor”, acrescentou o Ministro </w:t>
      </w:r>
      <w:proofErr w:type="spellStart"/>
      <w:r>
        <w:rPr>
          <w:sz w:val="26"/>
          <w:szCs w:val="26"/>
        </w:rPr>
        <w:t>Herman</w:t>
      </w:r>
      <w:proofErr w:type="spellEnd"/>
      <w:r>
        <w:rPr>
          <w:sz w:val="26"/>
          <w:szCs w:val="26"/>
        </w:rPr>
        <w:t xml:space="preserve"> Benjamin. </w:t>
      </w:r>
    </w:p>
    <w:p w:rsidR="00E31CCD" w:rsidRDefault="00E31CCD" w:rsidP="000B6B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Ainda de acordo com o voto do relator, “se os autos de infração e multas tivessem sido invalidados pelo novo Código ou houvesse sido decretada anistia ampla e irrestrita das violações que lhe deram origem, evidenciaria contradição e ofensa à lógica jurídica a mesma lei referir-se a "suspensão" e "conversão" daquilo que não mais existiria: o legislador não suspende ou converte o </w:t>
      </w:r>
      <w:r>
        <w:rPr>
          <w:i/>
          <w:iCs/>
          <w:sz w:val="26"/>
          <w:szCs w:val="26"/>
        </w:rPr>
        <w:t>nada jurídico</w:t>
      </w:r>
      <w:r>
        <w:rPr>
          <w:sz w:val="26"/>
          <w:szCs w:val="26"/>
        </w:rPr>
        <w:t xml:space="preserve">, o que antes era e depois (com a nova lei) deixou de ser. Vale dizer, a regra geral é que os autos de infração lavrados continuam plenamente válidos, intangíveis e blindados, como </w:t>
      </w:r>
      <w:r>
        <w:rPr>
          <w:i/>
          <w:iCs/>
          <w:sz w:val="26"/>
          <w:szCs w:val="26"/>
        </w:rPr>
        <w:t xml:space="preserve">ato jurídico </w:t>
      </w:r>
      <w:r>
        <w:rPr>
          <w:sz w:val="26"/>
          <w:szCs w:val="26"/>
        </w:rPr>
        <w:t xml:space="preserve">perfeito que são - apenas sua </w:t>
      </w:r>
      <w:r>
        <w:rPr>
          <w:i/>
          <w:iCs/>
          <w:sz w:val="26"/>
          <w:szCs w:val="26"/>
        </w:rPr>
        <w:t xml:space="preserve">exigibilidade monetária </w:t>
      </w:r>
      <w:r>
        <w:rPr>
          <w:sz w:val="26"/>
          <w:szCs w:val="26"/>
        </w:rPr>
        <w:t xml:space="preserve">fica suspensa na </w:t>
      </w:r>
      <w:r>
        <w:rPr>
          <w:i/>
          <w:iCs/>
          <w:sz w:val="26"/>
          <w:szCs w:val="26"/>
        </w:rPr>
        <w:t>esfera administrativa</w:t>
      </w:r>
      <w:r>
        <w:rPr>
          <w:sz w:val="26"/>
          <w:szCs w:val="26"/>
        </w:rPr>
        <w:t xml:space="preserve">, no aguardo do cumprimento integral das obrigações estabelecidas no PRA ou no TC. Tal basta para bem demonstrar que se mantém incólume o interesse de agir nas demandas judiciais em curso, não ocorrendo perda de objeto e extinção do processo sem resolução de mérito (CPC, art. 267, VI).” </w:t>
      </w:r>
    </w:p>
    <w:p w:rsidR="00E31CCD" w:rsidRDefault="00E31CCD" w:rsidP="000B6B59">
      <w:pPr>
        <w:pStyle w:val="Default"/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 relator conclui que </w:t>
      </w:r>
      <w:proofErr w:type="gramStart"/>
      <w:r>
        <w:rPr>
          <w:sz w:val="26"/>
          <w:szCs w:val="26"/>
        </w:rPr>
        <w:t>“mormente</w:t>
      </w:r>
      <w:proofErr w:type="gramEnd"/>
      <w:r>
        <w:rPr>
          <w:sz w:val="26"/>
          <w:szCs w:val="26"/>
        </w:rPr>
        <w:t xml:space="preserve"> nos </w:t>
      </w:r>
      <w:r>
        <w:rPr>
          <w:i/>
          <w:iCs/>
          <w:sz w:val="26"/>
          <w:szCs w:val="26"/>
        </w:rPr>
        <w:t>processos judiciais em curso</w:t>
      </w:r>
      <w:r>
        <w:rPr>
          <w:sz w:val="26"/>
          <w:szCs w:val="26"/>
        </w:rPr>
        <w:t xml:space="preserve">, a regra geral </w:t>
      </w:r>
    </w:p>
    <w:p w:rsidR="00E31CCD" w:rsidRDefault="00E31CCD" w:rsidP="000B6B59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será</w:t>
      </w:r>
      <w:proofErr w:type="gramEnd"/>
      <w:r>
        <w:rPr>
          <w:sz w:val="26"/>
          <w:szCs w:val="26"/>
        </w:rPr>
        <w:t xml:space="preserve"> a incidência da legislação florestal, de direito material, vigente à época dos fatos”. Segundo o acórdão, “incidirá sobre a matéria, por conseguinte, o princípio do </w:t>
      </w:r>
      <w:proofErr w:type="spellStart"/>
      <w:r>
        <w:rPr>
          <w:i/>
          <w:iCs/>
          <w:sz w:val="26"/>
          <w:szCs w:val="26"/>
        </w:rPr>
        <w:t>tempus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regit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actum</w:t>
      </w:r>
      <w:proofErr w:type="spellEnd"/>
      <w:r>
        <w:rPr>
          <w:sz w:val="26"/>
          <w:szCs w:val="26"/>
        </w:rPr>
        <w:t xml:space="preserve">, que governará os atos administrativo-ambientais perfeitos, confinada a aplicação do novo regime jurídico, ordinariamente e no atacado, ao futuro, para a frente; tanto mais se o </w:t>
      </w:r>
      <w:proofErr w:type="spellStart"/>
      <w:r>
        <w:rPr>
          <w:i/>
          <w:iCs/>
          <w:sz w:val="26"/>
          <w:szCs w:val="26"/>
        </w:rPr>
        <w:t>ius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superveniens</w:t>
      </w:r>
      <w:proofErr w:type="spellEnd"/>
      <w:r>
        <w:rPr>
          <w:sz w:val="26"/>
          <w:szCs w:val="26"/>
        </w:rPr>
        <w:t xml:space="preserve">, ao favorecer o interesse individual do particular, acabar por enfraquecer o regime jurídico de tutela do interesse público, dos bens coletivos e das gerações vindouras”. </w:t>
      </w:r>
    </w:p>
    <w:p w:rsidR="000B6B59" w:rsidRDefault="000B6B59" w:rsidP="000B6B59">
      <w:pPr>
        <w:pStyle w:val="Default"/>
        <w:jc w:val="both"/>
        <w:rPr>
          <w:sz w:val="26"/>
          <w:szCs w:val="26"/>
        </w:rPr>
      </w:pPr>
    </w:p>
    <w:p w:rsidR="00AB0E1E" w:rsidRDefault="00E31CCD" w:rsidP="00E31CCD">
      <w:r>
        <w:rPr>
          <w:sz w:val="26"/>
          <w:szCs w:val="26"/>
        </w:rPr>
        <w:t xml:space="preserve">Leia </w:t>
      </w:r>
      <w:hyperlink r:id="rId4" w:history="1">
        <w:r w:rsidRPr="000B6B59">
          <w:rPr>
            <w:rStyle w:val="Hyperlink"/>
            <w:sz w:val="26"/>
            <w:szCs w:val="26"/>
          </w:rPr>
          <w:t>aq</w:t>
        </w:r>
        <w:r w:rsidRPr="000B6B59">
          <w:rPr>
            <w:rStyle w:val="Hyperlink"/>
            <w:sz w:val="26"/>
            <w:szCs w:val="26"/>
          </w:rPr>
          <w:t>u</w:t>
        </w:r>
        <w:r w:rsidRPr="000B6B59">
          <w:rPr>
            <w:rStyle w:val="Hyperlink"/>
            <w:sz w:val="26"/>
            <w:szCs w:val="26"/>
          </w:rPr>
          <w:t>i</w:t>
        </w:r>
      </w:hyperlink>
      <w:r>
        <w:rPr>
          <w:sz w:val="26"/>
          <w:szCs w:val="26"/>
        </w:rPr>
        <w:t xml:space="preserve"> a íntegra do acórdão do STJ.</w:t>
      </w:r>
    </w:p>
    <w:sectPr w:rsidR="00AB0E1E" w:rsidSect="00AB0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CCD"/>
    <w:rsid w:val="000B6B59"/>
    <w:rsid w:val="00AB0E1E"/>
    <w:rsid w:val="00E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1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6B5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B6B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2.stj.jus.br/revistaeletronica/Abre_Documento.asp?sLink=ATC&amp;sSeq=24675969&amp;sReg=201100461496&amp;sData=20121219&amp;sTipo=5&amp;formato=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2013-02-01T19:45:00Z</dcterms:created>
  <dcterms:modified xsi:type="dcterms:W3CDTF">2013-02-01T19:49:00Z</dcterms:modified>
</cp:coreProperties>
</file>