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4D" w:rsidRDefault="0046134D" w:rsidP="0046134D">
      <w:pPr>
        <w:shd w:val="clear" w:color="auto" w:fill="FFFFFF"/>
        <w:spacing w:after="0" w:line="240" w:lineRule="atLeast"/>
        <w:rPr>
          <w:rFonts w:ascii="MuseoLight" w:eastAsia="Times New Roman" w:hAnsi="MuseoLight" w:cs="Times New Roman"/>
          <w:b/>
          <w:bCs/>
          <w:color w:val="575756"/>
          <w:sz w:val="39"/>
          <w:szCs w:val="39"/>
          <w:lang w:eastAsia="pt-BR"/>
        </w:rPr>
      </w:pPr>
      <w:bookmarkStart w:id="0" w:name="_GoBack"/>
      <w:bookmarkEnd w:id="0"/>
    </w:p>
    <w:p w:rsidR="0046134D" w:rsidRDefault="0046134D" w:rsidP="0046134D">
      <w:pPr>
        <w:shd w:val="clear" w:color="auto" w:fill="FFFFFF"/>
        <w:spacing w:after="0" w:line="240" w:lineRule="atLeast"/>
        <w:jc w:val="center"/>
        <w:rPr>
          <w:rFonts w:ascii="MuseoLight" w:eastAsia="Times New Roman" w:hAnsi="MuseoLight" w:cs="Times New Roman"/>
          <w:b/>
          <w:bCs/>
          <w:color w:val="575756"/>
          <w:sz w:val="39"/>
          <w:szCs w:val="39"/>
          <w:lang w:eastAsia="pt-BR"/>
        </w:rPr>
      </w:pPr>
      <w:r>
        <w:rPr>
          <w:rFonts w:ascii="MuseoLight" w:eastAsia="Times New Roman" w:hAnsi="MuseoLight" w:cs="Times New Roman"/>
          <w:b/>
          <w:bCs/>
          <w:color w:val="575756"/>
          <w:sz w:val="39"/>
          <w:szCs w:val="39"/>
          <w:lang w:eastAsia="pt-BR"/>
        </w:rPr>
        <w:t>STJ – Superior Tribunal de Justiça</w:t>
      </w:r>
    </w:p>
    <w:p w:rsidR="0046134D" w:rsidRDefault="0046134D" w:rsidP="0046134D">
      <w:pPr>
        <w:shd w:val="clear" w:color="auto" w:fill="FFFFFF"/>
        <w:spacing w:after="0" w:line="240" w:lineRule="atLeast"/>
        <w:rPr>
          <w:rFonts w:ascii="MuseoLight" w:eastAsia="Times New Roman" w:hAnsi="MuseoLight" w:cs="Times New Roman"/>
          <w:b/>
          <w:bCs/>
          <w:color w:val="575756"/>
          <w:sz w:val="39"/>
          <w:szCs w:val="39"/>
          <w:lang w:eastAsia="pt-BR"/>
        </w:rPr>
      </w:pPr>
    </w:p>
    <w:p w:rsidR="0046134D" w:rsidRPr="0046134D" w:rsidRDefault="0046134D" w:rsidP="0046134D">
      <w:pPr>
        <w:shd w:val="clear" w:color="auto" w:fill="FFFFFF"/>
        <w:spacing w:after="0" w:line="240" w:lineRule="atLeast"/>
        <w:rPr>
          <w:rFonts w:ascii="MuseoLight" w:eastAsia="Times New Roman" w:hAnsi="MuseoLight" w:cs="Times New Roman"/>
          <w:b/>
          <w:bCs/>
          <w:color w:val="575756"/>
          <w:sz w:val="39"/>
          <w:szCs w:val="39"/>
          <w:lang w:eastAsia="pt-BR"/>
        </w:rPr>
      </w:pPr>
      <w:r w:rsidRPr="0046134D">
        <w:rPr>
          <w:rFonts w:ascii="MuseoLight" w:eastAsia="Times New Roman" w:hAnsi="MuseoLight" w:cs="Times New Roman"/>
          <w:b/>
          <w:bCs/>
          <w:color w:val="575756"/>
          <w:sz w:val="39"/>
          <w:szCs w:val="39"/>
          <w:lang w:eastAsia="pt-BR"/>
        </w:rPr>
        <w:t>Notícias</w:t>
      </w:r>
    </w:p>
    <w:p w:rsidR="0046134D" w:rsidRPr="0046134D" w:rsidRDefault="0046134D" w:rsidP="0046134D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b/>
          <w:bCs/>
          <w:color w:val="595656"/>
          <w:sz w:val="17"/>
          <w:szCs w:val="17"/>
          <w:lang w:eastAsia="pt-BR"/>
        </w:rPr>
      </w:pPr>
      <w:r w:rsidRPr="0046134D">
        <w:rPr>
          <w:rFonts w:ascii="Verdana" w:eastAsia="Times New Roman" w:hAnsi="Verdana" w:cs="Times New Roman"/>
          <w:b/>
          <w:bCs/>
          <w:color w:val="595656"/>
          <w:sz w:val="17"/>
          <w:szCs w:val="17"/>
          <w:lang w:eastAsia="pt-BR"/>
        </w:rPr>
        <w:t xml:space="preserve">DECISÃO </w:t>
      </w:r>
    </w:p>
    <w:p w:rsidR="0046134D" w:rsidRPr="0046134D" w:rsidRDefault="0046134D" w:rsidP="0046134D">
      <w:pPr>
        <w:shd w:val="clear" w:color="auto" w:fill="FFFFFF"/>
        <w:spacing w:after="0" w:line="390" w:lineRule="atLeast"/>
        <w:rPr>
          <w:rFonts w:ascii="MuseoLight" w:eastAsia="Times New Roman" w:hAnsi="MuseoLight" w:cs="Times New Roman"/>
          <w:color w:val="595656"/>
          <w:sz w:val="17"/>
          <w:szCs w:val="17"/>
          <w:lang w:eastAsia="pt-BR"/>
        </w:rPr>
      </w:pPr>
      <w:r w:rsidRPr="0046134D">
        <w:rPr>
          <w:rFonts w:ascii="MuseoLight" w:eastAsia="Times New Roman" w:hAnsi="MuseoLight" w:cs="Times New Roman"/>
          <w:color w:val="595656"/>
          <w:sz w:val="17"/>
          <w:szCs w:val="17"/>
          <w:lang w:eastAsia="pt-BR"/>
        </w:rPr>
        <w:t xml:space="preserve">17/08/2018 09:03 </w:t>
      </w:r>
    </w:p>
    <w:p w:rsidR="0046134D" w:rsidRPr="0046134D" w:rsidRDefault="0046134D" w:rsidP="0046134D">
      <w:pPr>
        <w:shd w:val="clear" w:color="auto" w:fill="FFFFFF"/>
        <w:spacing w:before="300" w:after="0" w:line="390" w:lineRule="atLeast"/>
        <w:outlineLvl w:val="0"/>
        <w:rPr>
          <w:rFonts w:ascii="MuseoLight" w:eastAsia="Times New Roman" w:hAnsi="MuseoLight" w:cs="Times New Roman"/>
          <w:b/>
          <w:bCs/>
          <w:color w:val="9D362E"/>
          <w:kern w:val="36"/>
          <w:sz w:val="38"/>
          <w:szCs w:val="38"/>
          <w:lang w:eastAsia="pt-BR"/>
        </w:rPr>
      </w:pPr>
      <w:r w:rsidRPr="0046134D">
        <w:rPr>
          <w:rFonts w:ascii="MuseoLight" w:eastAsia="Times New Roman" w:hAnsi="MuseoLight" w:cs="Times New Roman"/>
          <w:b/>
          <w:bCs/>
          <w:color w:val="9D362E"/>
          <w:kern w:val="36"/>
          <w:sz w:val="38"/>
          <w:szCs w:val="38"/>
          <w:lang w:eastAsia="pt-BR"/>
        </w:rPr>
        <w:t xml:space="preserve">Segunda Turma reconhece pré-questionamento ficto e determina demolição de obra em área de preservação 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 xml:space="preserve">Com amparo no </w:t>
      </w:r>
      <w:hyperlink r:id="rId5" w:anchor="art1025" w:tgtFrame="_blank" w:history="1">
        <w:r w:rsidRPr="0046134D">
          <w:rPr>
            <w:rFonts w:ascii="Verdana" w:eastAsia="Times New Roman" w:hAnsi="Verdana" w:cs="Times New Roman"/>
            <w:b/>
            <w:bCs/>
            <w:color w:val="2465A4"/>
            <w:sz w:val="20"/>
            <w:szCs w:val="20"/>
            <w:lang w:eastAsia="pt-BR"/>
          </w:rPr>
          <w:t>artigo 1.025</w:t>
        </w:r>
      </w:hyperlink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 xml:space="preserve"> do Código de Processo Civil (CPC) de 2015, que admite o pré-questionamento ficto de matéria jurídica levantada em embargos de declaração rejeitados no tribunal de origem, a Segunda Turma do Superior Tribunal de Justiça (STJ) reformou acórdão do Tribunal Regional Federal da 4ª Região (TRF4) para determinar a demolição de uma edificação erguida em área de preservação permanente (APP) nas margens do rio Itajaí-Açu e determinar a recomposição do espaço natural.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>O pré-questionamento ficto ocorre quando a parte aponta omissões em embargos declaratórios que são rejeitados pela corte de origem, mas tais omissões são reconhecidas pelo STJ. Nesses casos, segundo o artigo 1.025 do CPC, o recurso especial é cabível em relação aos pontos levantados nos embargos, e o STJ pode decidir sobre eles ainda que o tribunal de segunda instância não tenha emitido juízo de valor a respeito da matéria.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>A questão processual foi debatida durante o julgamento de recurso interposto pelo Ibama em ação civil pública movida pelo Ministério Público Federal com o objetivo de exigir a demolição de obra em APP e a recuperação da área.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r w:rsidRPr="0046134D">
        <w:rPr>
          <w:rFonts w:ascii="Verdana" w:eastAsia="Times New Roman" w:hAnsi="Verdana" w:cs="Times New Roman"/>
          <w:b/>
          <w:bCs/>
          <w:color w:val="595656"/>
          <w:sz w:val="20"/>
          <w:szCs w:val="20"/>
          <w:lang w:eastAsia="pt-BR"/>
        </w:rPr>
        <w:t>Omissões importantes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 xml:space="preserve">Segundo o relator do recurso, ministro </w:t>
      </w:r>
      <w:proofErr w:type="spellStart"/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>Og</w:t>
      </w:r>
      <w:proofErr w:type="spellEnd"/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 xml:space="preserve"> Fernandes, o TRF4 de fato se omitiu – como sustentou o Ibama – no exame de teses relevantes arguidas nos embargos de declaração, particularmente em relação à inaplicabilidade da teoria do fato consumado e à inexistência de direito adquirido a degradar o meio ambiente.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>“Na espécie, o recorrente questionou elementos jurídicos relevantes que não foram apreciados de forma explicitamente fundamentada pela instância ordinária”, disse o ministro, observando que, em tais situações, conforme prevê o artigo 1.025, os elementos tidos como omissos passam a fazer parte do acórdão recorrido, ficando assim atendida a exigência do pré-questionamento.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r w:rsidRPr="0046134D">
        <w:rPr>
          <w:rFonts w:ascii="Verdana" w:eastAsia="Times New Roman" w:hAnsi="Verdana" w:cs="Times New Roman"/>
          <w:b/>
          <w:bCs/>
          <w:color w:val="595656"/>
          <w:sz w:val="20"/>
          <w:szCs w:val="20"/>
          <w:lang w:eastAsia="pt-BR"/>
        </w:rPr>
        <w:t>Súmula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lastRenderedPageBreak/>
        <w:t xml:space="preserve">De acordo com o relator, a </w:t>
      </w:r>
      <w:hyperlink r:id="rId6" w:history="1">
        <w:r w:rsidRPr="0046134D">
          <w:rPr>
            <w:rFonts w:ascii="Verdana" w:eastAsia="Times New Roman" w:hAnsi="Verdana" w:cs="Times New Roman"/>
            <w:b/>
            <w:bCs/>
            <w:color w:val="2465A4"/>
            <w:sz w:val="20"/>
            <w:szCs w:val="20"/>
            <w:lang w:eastAsia="pt-BR"/>
          </w:rPr>
          <w:t>Súmula 211</w:t>
        </w:r>
      </w:hyperlink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 xml:space="preserve"> do STJ continua válida, mas deve ser interpretada à luz do Enunciado Administrativo 3 do tribunal, segundo o qual os requisitos de admissibilidade do CPC/2015 são exigidos nos recursos interpostos contra decisões publicadas a partir de 18 de março de 2016 (data de vigência do novo código).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 xml:space="preserve">Assim, segundo </w:t>
      </w:r>
      <w:proofErr w:type="spellStart"/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>Og</w:t>
      </w:r>
      <w:proofErr w:type="spellEnd"/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 xml:space="preserve"> Fernandes, a súmula – que considera inadmissível a questão recursal não debatida pelo tribunal de origem, a despeito da oposição de embargos – “se mantém irretocável perante a análise de recurso especial cuja decisão combatida foi prolatada durante a vigência do antigo </w:t>
      </w:r>
      <w:proofErr w:type="spellStart"/>
      <w:r w:rsidRPr="0046134D">
        <w:rPr>
          <w:rFonts w:ascii="Verdana" w:eastAsia="Times New Roman" w:hAnsi="Verdana" w:cs="Times New Roman"/>
          <w:i/>
          <w:iCs/>
          <w:color w:val="595656"/>
          <w:sz w:val="20"/>
          <w:szCs w:val="20"/>
          <w:lang w:eastAsia="pt-BR"/>
        </w:rPr>
        <w:t>codex</w:t>
      </w:r>
      <w:proofErr w:type="spellEnd"/>
      <w:r w:rsidRPr="0046134D">
        <w:rPr>
          <w:rFonts w:ascii="Verdana" w:eastAsia="Times New Roman" w:hAnsi="Verdana" w:cs="Times New Roman"/>
          <w:i/>
          <w:iCs/>
          <w:color w:val="595656"/>
          <w:sz w:val="20"/>
          <w:szCs w:val="20"/>
          <w:lang w:eastAsia="pt-BR"/>
        </w:rPr>
        <w:t xml:space="preserve"> </w:t>
      </w:r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>processual (CPC/1973). Contudo, quando o apelo nobre é interposto contra aresto publicado na vigência do novo CPC, torna-se imperioso o reconhecimento do pré-questionamento ficto, consagrado no artigo 1.025”.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r w:rsidRPr="0046134D">
        <w:rPr>
          <w:rFonts w:ascii="Verdana" w:eastAsia="Times New Roman" w:hAnsi="Verdana" w:cs="Times New Roman"/>
          <w:b/>
          <w:bCs/>
          <w:color w:val="595656"/>
          <w:sz w:val="20"/>
          <w:szCs w:val="20"/>
          <w:lang w:eastAsia="pt-BR"/>
        </w:rPr>
        <w:t>Demolição necessária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>Quanto à infração ambiental que motivou o recurso, o ministro afirmou que não basta impedir novas construções ou determinar medidas compensatórias; é preciso demolir a construção, devido à inaplicabilidade da teoria do fato consumado nessas situações.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>“A simples manutenção da edificação irregular em área de preservação permanente elidiu o ecossistema e a paisagística do local. Desse modo, para assegurar a função ecológica da APP, a demolição é medida que se impõe”, disse ele.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proofErr w:type="spellStart"/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>Og</w:t>
      </w:r>
      <w:proofErr w:type="spellEnd"/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 xml:space="preserve"> Fernandes disse que a responsabilização pela recomposição da área de preservação é objetiva, fundada na teoria do risco integral. Ele lembrou que, em questões relacionadas ao meio ambiente, deve haver a preponderância dos princípios da precaução e do poluidor pagador, “impondo-se ao poder público e à coletividade o dever de defendê-lo e preservá-lo para as presentes e futuras gerações”.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 xml:space="preserve">O ministro citou a Lei de Política Nacional do Meio Ambiente (Lei 6.938/1981), na qual a atividade ruinosa do poluidor corresponde a uma indevida apropriação pessoal de bens de todos. A regulamentação, segundo </w:t>
      </w:r>
      <w:proofErr w:type="spellStart"/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>Og</w:t>
      </w:r>
      <w:proofErr w:type="spellEnd"/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 xml:space="preserve"> Fernandes, substituiu o princípio da responsabilidade subjetiva, fundamentado na culpa, pelo da responsabilidade objetiva, fundamentado no risco da atividade.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r w:rsidRPr="0046134D">
        <w:rPr>
          <w:rFonts w:ascii="Verdana" w:eastAsia="Times New Roman" w:hAnsi="Verdana" w:cs="Times New Roman"/>
          <w:b/>
          <w:bCs/>
          <w:color w:val="595656"/>
          <w:sz w:val="20"/>
          <w:szCs w:val="20"/>
          <w:lang w:eastAsia="pt-BR"/>
        </w:rPr>
        <w:t>Direito inexistente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>O relator explicou ainda que a aplicação da teoria do fato consumado equivale a perpetuar um suposto direito de poluir, o que vai contra o postulado do meio ambiente equilibrado – bem de uso comum do povo essencial à sadia qualidade de vida.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>Para o ministro, a proteção do direito adquirido não pode ser suscitada para mitigar o dever de salvaguarda ambiental, não servindo para justificar o desmatamento da flora nativa, a ocupação de espaços protegidos pela legislação, muito menos para autorizar a manutenção de conduta potencialmente lesiva ao meio ambiente.</w:t>
      </w:r>
    </w:p>
    <w:p w:rsidR="0046134D" w:rsidRPr="0046134D" w:rsidRDefault="0046134D" w:rsidP="0046134D">
      <w:pPr>
        <w:shd w:val="clear" w:color="auto" w:fill="FFFFFF"/>
        <w:spacing w:before="240" w:after="24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proofErr w:type="spellStart"/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lastRenderedPageBreak/>
        <w:t>Og</w:t>
      </w:r>
      <w:proofErr w:type="spellEnd"/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 xml:space="preserve"> Fernandes destacou a aprovação pela Primeira Seção do STJ, em maio de 2018, da Súmula 613, segundo a qual “não se admite a aplicação da teoria do fato consumado em tema de direito ambiental”.</w:t>
      </w:r>
    </w:p>
    <w:p w:rsidR="0046134D" w:rsidRPr="0046134D" w:rsidRDefault="0046134D" w:rsidP="0046134D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</w:pPr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 xml:space="preserve">Leia o </w:t>
      </w:r>
      <w:hyperlink r:id="rId7" w:history="1">
        <w:r w:rsidRPr="0046134D">
          <w:rPr>
            <w:rFonts w:ascii="Verdana" w:eastAsia="Times New Roman" w:hAnsi="Verdana" w:cs="Times New Roman"/>
            <w:b/>
            <w:bCs/>
            <w:color w:val="2465A4"/>
            <w:sz w:val="20"/>
            <w:szCs w:val="20"/>
            <w:lang w:eastAsia="pt-BR"/>
          </w:rPr>
          <w:t>acórdão</w:t>
        </w:r>
      </w:hyperlink>
      <w:r w:rsidRPr="0046134D">
        <w:rPr>
          <w:rFonts w:ascii="Verdana" w:eastAsia="Times New Roman" w:hAnsi="Verdana" w:cs="Times New Roman"/>
          <w:color w:val="595656"/>
          <w:sz w:val="20"/>
          <w:szCs w:val="20"/>
          <w:lang w:eastAsia="pt-BR"/>
        </w:rPr>
        <w:t xml:space="preserve">. </w:t>
      </w:r>
    </w:p>
    <w:p w:rsidR="0046134D" w:rsidRPr="0046134D" w:rsidRDefault="0046134D" w:rsidP="0046134D">
      <w:pPr>
        <w:shd w:val="clear" w:color="auto" w:fill="FFFFFF"/>
        <w:spacing w:line="312" w:lineRule="atLeast"/>
        <w:textAlignment w:val="center"/>
        <w:rPr>
          <w:rFonts w:ascii="Verdana" w:eastAsia="Times New Roman" w:hAnsi="Verdana" w:cs="Times New Roman"/>
          <w:b/>
          <w:bCs/>
          <w:color w:val="575756"/>
          <w:sz w:val="18"/>
          <w:szCs w:val="18"/>
          <w:lang w:eastAsia="pt-BR"/>
        </w:rPr>
      </w:pPr>
      <w:r w:rsidRPr="0046134D">
        <w:rPr>
          <w:rFonts w:ascii="Verdana" w:eastAsia="Times New Roman" w:hAnsi="Verdana" w:cs="Times New Roman"/>
          <w:b/>
          <w:bCs/>
          <w:color w:val="575756"/>
          <w:sz w:val="18"/>
          <w:szCs w:val="18"/>
          <w:lang w:eastAsia="pt-BR"/>
        </w:rPr>
        <w:t xml:space="preserve">Esta notícia refere-se ao(s) processo(s): </w:t>
      </w:r>
      <w:hyperlink r:id="rId8" w:tgtFrame="janela_processos" w:history="1">
        <w:proofErr w:type="spellStart"/>
        <w:r w:rsidRPr="0046134D">
          <w:rPr>
            <w:rFonts w:ascii="Verdana" w:eastAsia="Times New Roman" w:hAnsi="Verdana" w:cs="Times New Roman"/>
            <w:b/>
            <w:bCs/>
            <w:color w:val="9D362E"/>
            <w:sz w:val="18"/>
            <w:szCs w:val="18"/>
            <w:lang w:eastAsia="pt-BR"/>
          </w:rPr>
          <w:t>REsp</w:t>
        </w:r>
        <w:proofErr w:type="spellEnd"/>
        <w:r w:rsidRPr="0046134D">
          <w:rPr>
            <w:rFonts w:ascii="Verdana" w:eastAsia="Times New Roman" w:hAnsi="Verdana" w:cs="Times New Roman"/>
            <w:b/>
            <w:bCs/>
            <w:color w:val="9D362E"/>
            <w:sz w:val="18"/>
            <w:szCs w:val="18"/>
            <w:lang w:eastAsia="pt-BR"/>
          </w:rPr>
          <w:t xml:space="preserve"> 1667087</w:t>
        </w:r>
      </w:hyperlink>
      <w:r w:rsidRPr="0046134D">
        <w:rPr>
          <w:rFonts w:ascii="Verdana" w:eastAsia="Times New Roman" w:hAnsi="Verdana" w:cs="Times New Roman"/>
          <w:b/>
          <w:bCs/>
          <w:color w:val="575756"/>
          <w:sz w:val="18"/>
          <w:szCs w:val="18"/>
          <w:lang w:eastAsia="pt-BR"/>
        </w:rPr>
        <w:t xml:space="preserve"> </w:t>
      </w:r>
    </w:p>
    <w:p w:rsidR="00213ACB" w:rsidRDefault="00213ACB"/>
    <w:sectPr w:rsidR="00213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Ligh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3546"/>
    <w:multiLevelType w:val="multilevel"/>
    <w:tmpl w:val="1082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4D"/>
    <w:rsid w:val="00213ACB"/>
    <w:rsid w:val="0046134D"/>
    <w:rsid w:val="0067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E5EE0-E1C1-4D49-93CB-70F90A2B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61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13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6134D"/>
    <w:rPr>
      <w:strike w:val="0"/>
      <w:dstrike w:val="0"/>
      <w:color w:val="2465A4"/>
      <w:u w:val="none"/>
      <w:effect w:val="none"/>
    </w:rPr>
  </w:style>
  <w:style w:type="character" w:styleId="Forte">
    <w:name w:val="Strong"/>
    <w:basedOn w:val="Fontepargpadro"/>
    <w:uiPriority w:val="22"/>
    <w:qFormat/>
    <w:rsid w:val="0046134D"/>
    <w:rPr>
      <w:b/>
      <w:bCs/>
    </w:rPr>
  </w:style>
  <w:style w:type="character" w:customStyle="1" w:styleId="hrnoticia1">
    <w:name w:val="hr_noticia1"/>
    <w:basedOn w:val="Fontepargpadro"/>
    <w:rsid w:val="0046134D"/>
  </w:style>
  <w:style w:type="character" w:customStyle="1" w:styleId="dtnoticia">
    <w:name w:val="dt_noticia"/>
    <w:basedOn w:val="Fontepargpadro"/>
    <w:rsid w:val="0046134D"/>
  </w:style>
  <w:style w:type="character" w:styleId="nfase">
    <w:name w:val="Emphasis"/>
    <w:basedOn w:val="Fontepargpadro"/>
    <w:uiPriority w:val="20"/>
    <w:qFormat/>
    <w:rsid w:val="0046134D"/>
    <w:rPr>
      <w:i/>
      <w:iCs/>
    </w:rPr>
  </w:style>
  <w:style w:type="character" w:customStyle="1" w:styleId="texto2">
    <w:name w:val="texto2"/>
    <w:basedOn w:val="Fontepargpadro"/>
    <w:rsid w:val="0046134D"/>
    <w:rPr>
      <w:vanish w:val="0"/>
      <w:webHidden w:val="0"/>
      <w:specVanish w:val="0"/>
    </w:rPr>
  </w:style>
  <w:style w:type="character" w:customStyle="1" w:styleId="destaque">
    <w:name w:val="destaque"/>
    <w:basedOn w:val="Fontepargpadro"/>
    <w:rsid w:val="0046134D"/>
  </w:style>
  <w:style w:type="character" w:customStyle="1" w:styleId="objtextosrelprocessos">
    <w:name w:val="obj_textos_rel_processos"/>
    <w:basedOn w:val="Fontepargpadro"/>
    <w:rsid w:val="0046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5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342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1451">
                                          <w:marLeft w:val="4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3" w:color="C22F18"/>
                                            <w:right w:val="none" w:sz="0" w:space="0" w:color="auto"/>
                                          </w:divBdr>
                                        </w:div>
                                        <w:div w:id="8868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7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64113">
                                                  <w:marLeft w:val="51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90032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55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139148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74790">
                                                      <w:marLeft w:val="2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68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52027">
                                                      <w:marLeft w:val="495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2.stj.jus.br/processo/pesquisa/?aplicacao=processos.ea&amp;tipoPesquisa=tipoPesquisaGenerica&amp;termo=REsp%2016670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2.stj.jus.br/processo/revista/documento/mediado/?componente=ITA&amp;sequencial=1733616&amp;num_registro=201700852712&amp;data=20180813&amp;formato=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j.jus.br/SCON/sumanot/toc.jsp?livre=(sumula%20adj1%20%27211%27).sub." TargetMode="External"/><Relationship Id="rId5" Type="http://schemas.openxmlformats.org/officeDocument/2006/relationships/hyperlink" Target="http://www.planalto.gov.br/ccivIl_03/_Ato2015-2018/2015/Lei/L13105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</dc:creator>
  <cp:keywords/>
  <dc:description/>
  <cp:lastModifiedBy>Maria Fernanda de Góis Giacomini Goncalves</cp:lastModifiedBy>
  <cp:revision>2</cp:revision>
  <dcterms:created xsi:type="dcterms:W3CDTF">2018-09-14T17:29:00Z</dcterms:created>
  <dcterms:modified xsi:type="dcterms:W3CDTF">2018-09-14T17:29:00Z</dcterms:modified>
</cp:coreProperties>
</file>