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7" w:rsidRPr="002E7BBC" w:rsidRDefault="00E31045" w:rsidP="00A5750E">
      <w:pPr>
        <w:shd w:val="clear" w:color="auto" w:fill="FFFFFF"/>
        <w:spacing w:after="240" w:line="36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val="pt-PT" w:eastAsia="pt-BR"/>
        </w:rPr>
      </w:pPr>
      <w:r>
        <w:rPr>
          <w:rFonts w:eastAsia="Times New Roman" w:cs="Times New Roman"/>
          <w:b/>
          <w:bCs/>
          <w:caps/>
          <w:sz w:val="28"/>
          <w:szCs w:val="28"/>
          <w:lang w:val="pt-PT" w:eastAsia="pt-BR"/>
        </w:rPr>
        <w:t>COMPRADOR QUE DESISTE DO IMÓVEL DEVE SER RESTITUÍDO DE FORMA JUSTA</w:t>
      </w:r>
    </w:p>
    <w:p w:rsidR="00E31045" w:rsidRDefault="00E31045" w:rsidP="00DD6AC6">
      <w:pPr>
        <w:shd w:val="clear" w:color="auto" w:fill="FFFFFF"/>
        <w:spacing w:after="240" w:line="360" w:lineRule="auto"/>
        <w:jc w:val="both"/>
        <w:rPr>
          <w:rFonts w:eastAsia="Times New Roman" w:cs="Times New Roman"/>
          <w:sz w:val="24"/>
          <w:szCs w:val="24"/>
          <w:lang w:val="pt-PT" w:eastAsia="pt-BR"/>
        </w:rPr>
      </w:pPr>
    </w:p>
    <w:p w:rsidR="00E31045" w:rsidRDefault="00DD6AC6" w:rsidP="00DD6AC6">
      <w:pPr>
        <w:shd w:val="clear" w:color="auto" w:fill="FFFFFF"/>
        <w:spacing w:after="240" w:line="360" w:lineRule="auto"/>
        <w:jc w:val="both"/>
        <w:rPr>
          <w:rFonts w:eastAsia="Times New Roman" w:cs="Times New Roman"/>
          <w:sz w:val="24"/>
          <w:szCs w:val="24"/>
          <w:lang w:val="pt-PT" w:eastAsia="pt-BR"/>
        </w:rPr>
      </w:pPr>
      <w:r w:rsidRPr="00DD6AC6">
        <w:rPr>
          <w:rFonts w:eastAsia="Times New Roman" w:cs="Times New Roman"/>
          <w:sz w:val="24"/>
          <w:szCs w:val="24"/>
          <w:lang w:val="pt-PT" w:eastAsia="pt-BR"/>
        </w:rPr>
        <w:t xml:space="preserve">É abusiva e ilegal a cláusula do distrato decorrente de compra e venda imobiliária que prevê a retenção integral ou a devolução ínfima das parcelas pagas pelo promitente-comprador. O entendimento foi ratificado pela Quarta Turma do Superior Tribunal de Justiça (STJ) em julgamento relatado pelo ministro Luis Felipe Salomão. </w:t>
      </w:r>
    </w:p>
    <w:p w:rsidR="00E31045" w:rsidRDefault="00E31045" w:rsidP="00DD6AC6">
      <w:pPr>
        <w:shd w:val="clear" w:color="auto" w:fill="FFFFFF"/>
        <w:spacing w:after="240" w:line="360" w:lineRule="auto"/>
        <w:jc w:val="both"/>
        <w:rPr>
          <w:rFonts w:eastAsia="Times New Roman" w:cs="Times New Roman"/>
          <w:sz w:val="24"/>
          <w:szCs w:val="24"/>
          <w:lang w:val="pt-PT" w:eastAsia="pt-BR"/>
        </w:rPr>
      </w:pPr>
    </w:p>
    <w:p w:rsidR="00E31045" w:rsidRDefault="00DD6AC6" w:rsidP="00DD6AC6">
      <w:pPr>
        <w:shd w:val="clear" w:color="auto" w:fill="FFFFFF"/>
        <w:spacing w:after="240" w:line="360" w:lineRule="auto"/>
        <w:jc w:val="both"/>
        <w:rPr>
          <w:rFonts w:eastAsia="Times New Roman" w:cs="Times New Roman"/>
          <w:sz w:val="24"/>
          <w:szCs w:val="24"/>
          <w:lang w:val="pt-PT" w:eastAsia="pt-BR"/>
        </w:rPr>
      </w:pPr>
      <w:r w:rsidRPr="00DD6AC6">
        <w:rPr>
          <w:rFonts w:eastAsia="Times New Roman" w:cs="Times New Roman"/>
          <w:sz w:val="24"/>
          <w:szCs w:val="24"/>
          <w:lang w:val="pt-PT" w:eastAsia="pt-BR"/>
        </w:rPr>
        <w:t xml:space="preserve">No caso julgado, um casal de Pernambuco ajuizou ação contra a construtora para requerer a nulidade da cláusula abusiva e a elevação do valor restituído em decorrência da rescisão do contrato. No distrato, coube aos compradores a restituição de R$ 5 mil, sendo que o valor efetivamente pago foi de R$ 16.810,08. </w:t>
      </w:r>
    </w:p>
    <w:p w:rsidR="00E31045" w:rsidRDefault="00E31045" w:rsidP="00DD6AC6">
      <w:pPr>
        <w:shd w:val="clear" w:color="auto" w:fill="FFFFFF"/>
        <w:spacing w:after="240" w:line="360" w:lineRule="auto"/>
        <w:jc w:val="both"/>
        <w:rPr>
          <w:rFonts w:eastAsia="Times New Roman" w:cs="Times New Roman"/>
          <w:sz w:val="24"/>
          <w:szCs w:val="24"/>
          <w:lang w:val="pt-PT" w:eastAsia="pt-BR"/>
        </w:rPr>
      </w:pPr>
    </w:p>
    <w:p w:rsidR="00DD6AC6" w:rsidRDefault="00DD6AC6" w:rsidP="00DD6AC6">
      <w:pPr>
        <w:shd w:val="clear" w:color="auto" w:fill="FFFFFF"/>
        <w:spacing w:after="240" w:line="360" w:lineRule="auto"/>
        <w:jc w:val="both"/>
        <w:rPr>
          <w:rFonts w:eastAsia="Times New Roman" w:cs="Times New Roman"/>
          <w:sz w:val="24"/>
          <w:szCs w:val="24"/>
          <w:lang w:val="pt-PT" w:eastAsia="pt-BR"/>
        </w:rPr>
      </w:pPr>
      <w:r w:rsidRPr="00DD6AC6">
        <w:rPr>
          <w:rFonts w:eastAsia="Times New Roman" w:cs="Times New Roman"/>
          <w:sz w:val="24"/>
          <w:szCs w:val="24"/>
          <w:lang w:val="pt-PT" w:eastAsia="pt-BR"/>
        </w:rPr>
        <w:t xml:space="preserve">O Tribunal de Justiça de Pernambuco determinou a restituição do valor total da quantia paga, com abatimento de 15% correspondentes aos serviços prestados pela construtora em razão do contrato. A sentença também consignou que não houve inadimplemento ou culpa de qualquer das partes, já que o distrato se deu em decorrência de incapacidade econômica para suportar o pagamento das parcelas. A construtora recorreu ao STJ. </w:t>
      </w:r>
    </w:p>
    <w:p w:rsidR="00DD6AC6" w:rsidRDefault="00DD6AC6" w:rsidP="00DD6AC6">
      <w:pPr>
        <w:shd w:val="clear" w:color="auto" w:fill="FFFFFF"/>
        <w:spacing w:after="240" w:line="360" w:lineRule="auto"/>
        <w:jc w:val="both"/>
        <w:rPr>
          <w:rFonts w:eastAsia="Times New Roman" w:cs="Times New Roman"/>
          <w:b/>
          <w:bCs/>
          <w:sz w:val="24"/>
          <w:szCs w:val="24"/>
          <w:lang w:val="pt-PT" w:eastAsia="pt-BR"/>
        </w:rPr>
      </w:pPr>
      <w:r w:rsidRPr="00DD6AC6">
        <w:rPr>
          <w:rFonts w:eastAsia="Times New Roman" w:cs="Times New Roman"/>
          <w:sz w:val="24"/>
          <w:szCs w:val="24"/>
          <w:lang w:val="pt-PT" w:eastAsia="pt-BR"/>
        </w:rPr>
        <w:br/>
      </w:r>
      <w:r w:rsidRPr="00DD6AC6">
        <w:rPr>
          <w:rFonts w:eastAsia="Times New Roman" w:cs="Times New Roman"/>
          <w:b/>
          <w:bCs/>
          <w:sz w:val="24"/>
          <w:szCs w:val="24"/>
          <w:lang w:val="pt-PT" w:eastAsia="pt-BR"/>
        </w:rPr>
        <w:t xml:space="preserve">Vantagem exagerada </w:t>
      </w:r>
    </w:p>
    <w:p w:rsidR="00E31045" w:rsidRDefault="00DD6AC6" w:rsidP="00DD6AC6">
      <w:pPr>
        <w:shd w:val="clear" w:color="auto" w:fill="FFFFFF"/>
        <w:spacing w:after="240" w:line="360" w:lineRule="auto"/>
        <w:jc w:val="both"/>
        <w:rPr>
          <w:rFonts w:eastAsia="Times New Roman" w:cs="Times New Roman"/>
          <w:sz w:val="24"/>
          <w:szCs w:val="24"/>
          <w:lang w:val="pt-PT" w:eastAsia="pt-BR"/>
        </w:rPr>
      </w:pPr>
      <w:r w:rsidRPr="00DD6AC6">
        <w:rPr>
          <w:rFonts w:eastAsia="Times New Roman" w:cs="Times New Roman"/>
          <w:sz w:val="24"/>
          <w:szCs w:val="24"/>
          <w:lang w:val="pt-PT" w:eastAsia="pt-BR"/>
        </w:rPr>
        <w:t xml:space="preserve">Segundo o ministro Luis Felipe Salomão, o Código de Defesa do Consumidor, nos artigos 51 e 53, coíbe a cláusula de decaimento que determine a retenção do valor integral ou substancial das prestações pagas, por caracterizar vantagem exagerada do incorporador. </w:t>
      </w:r>
      <w:r w:rsidRPr="00DD6AC6">
        <w:rPr>
          <w:rFonts w:eastAsia="Times New Roman" w:cs="Times New Roman"/>
          <w:sz w:val="24"/>
          <w:szCs w:val="24"/>
          <w:lang w:val="pt-PT" w:eastAsia="pt-BR"/>
        </w:rPr>
        <w:br/>
      </w:r>
      <w:r w:rsidRPr="00DD6AC6">
        <w:rPr>
          <w:rFonts w:eastAsia="Times New Roman" w:cs="Times New Roman"/>
          <w:sz w:val="24"/>
          <w:szCs w:val="24"/>
          <w:lang w:val="pt-PT" w:eastAsia="pt-BR"/>
        </w:rPr>
        <w:br/>
      </w:r>
      <w:r w:rsidRPr="00DD6AC6">
        <w:rPr>
          <w:rFonts w:eastAsia="Times New Roman" w:cs="Times New Roman"/>
          <w:sz w:val="24"/>
          <w:szCs w:val="24"/>
          <w:lang w:val="pt-PT" w:eastAsia="pt-BR"/>
        </w:rPr>
        <w:lastRenderedPageBreak/>
        <w:t xml:space="preserve">“Não obstante, é justo e razoável admitir-se a retenção, pelo vendedor, de parte das prestações pagas como forma de indenizá-lo pelos prejuízos suportados, notadamente as despesas administrativas realizadas com a divulgação, comercialização e corretagem, além do pagamento de tributos e taxas incidentes sobre o imóvel, e a eventual utilização do bem pelo comprador”, ressaltou o relator em seu voto. </w:t>
      </w:r>
    </w:p>
    <w:p w:rsidR="00E31045" w:rsidRDefault="00DD6AC6" w:rsidP="00DD6AC6">
      <w:pPr>
        <w:shd w:val="clear" w:color="auto" w:fill="FFFFFF"/>
        <w:spacing w:after="240" w:line="360" w:lineRule="auto"/>
        <w:jc w:val="both"/>
        <w:rPr>
          <w:rFonts w:eastAsia="Times New Roman" w:cs="Times New Roman"/>
          <w:sz w:val="24"/>
          <w:szCs w:val="24"/>
          <w:lang w:val="pt-PT" w:eastAsia="pt-BR"/>
        </w:rPr>
      </w:pPr>
      <w:r w:rsidRPr="00DD6AC6">
        <w:rPr>
          <w:rFonts w:eastAsia="Times New Roman" w:cs="Times New Roman"/>
          <w:sz w:val="24"/>
          <w:szCs w:val="24"/>
          <w:lang w:val="pt-PT" w:eastAsia="pt-BR"/>
        </w:rPr>
        <w:br/>
        <w:t xml:space="preserve">Citando vários precedentes, o ministro reiterou que a jurisprudência da Segunda Seção já consolidou entendimento no sentido da possibilidade de resilição (modo de extinção dos contratos por vontade de um ou dos dois contratantes) do compromisso de compra e venda diante da incapacidade econômica do comprador. </w:t>
      </w:r>
    </w:p>
    <w:p w:rsidR="00DD6AC6" w:rsidRPr="00DD6AC6" w:rsidRDefault="00DD6AC6" w:rsidP="00DD6AC6">
      <w:pPr>
        <w:shd w:val="clear" w:color="auto" w:fill="FFFFFF"/>
        <w:spacing w:after="240" w:line="360" w:lineRule="auto"/>
        <w:jc w:val="both"/>
        <w:rPr>
          <w:rFonts w:eastAsia="Times New Roman" w:cs="Times New Roman"/>
          <w:sz w:val="24"/>
          <w:szCs w:val="24"/>
          <w:lang w:val="pt-PT" w:eastAsia="pt-BR"/>
        </w:rPr>
      </w:pPr>
      <w:r w:rsidRPr="00DD6AC6">
        <w:rPr>
          <w:rFonts w:eastAsia="Times New Roman" w:cs="Times New Roman"/>
          <w:sz w:val="24"/>
          <w:szCs w:val="24"/>
          <w:lang w:val="pt-PT" w:eastAsia="pt-BR"/>
        </w:rPr>
        <w:br/>
        <w:t xml:space="preserve">Também registrou que a Corte tem entendido que a retenção de percentual entre 10% e 25% do valor pago seria razoável para cobrir despesas administrativas, conforme as circunstâncias de cada caso. </w:t>
      </w:r>
    </w:p>
    <w:p w:rsidR="00E31045" w:rsidRDefault="00DD6AC6" w:rsidP="00A5750E">
      <w:pPr>
        <w:shd w:val="clear" w:color="auto" w:fill="FFFFFF"/>
        <w:spacing w:after="240" w:line="360" w:lineRule="auto"/>
        <w:jc w:val="both"/>
        <w:rPr>
          <w:rFonts w:eastAsia="Times New Roman" w:cs="Times New Roman"/>
          <w:sz w:val="24"/>
          <w:szCs w:val="24"/>
          <w:lang w:val="pt-PT" w:eastAsia="pt-BR"/>
        </w:rPr>
      </w:pPr>
      <w:r w:rsidRPr="00DD6AC6">
        <w:rPr>
          <w:rFonts w:eastAsia="Times New Roman" w:cs="Times New Roman"/>
          <w:sz w:val="24"/>
          <w:szCs w:val="24"/>
          <w:lang w:val="pt-PT" w:eastAsia="pt-BR"/>
        </w:rPr>
        <w:br/>
      </w:r>
    </w:p>
    <w:p w:rsidR="002E7BBC" w:rsidRPr="00806A17" w:rsidRDefault="002E7BBC" w:rsidP="00A5750E">
      <w:pPr>
        <w:shd w:val="clear" w:color="auto" w:fill="FFFFFF"/>
        <w:spacing w:after="240" w:line="360" w:lineRule="auto"/>
        <w:jc w:val="both"/>
        <w:rPr>
          <w:rFonts w:eastAsia="Times New Roman" w:cs="Times New Roman"/>
          <w:sz w:val="24"/>
          <w:szCs w:val="24"/>
          <w:lang w:val="pt-PT" w:eastAsia="pt-BR"/>
        </w:rPr>
      </w:pPr>
      <w:r>
        <w:rPr>
          <w:rFonts w:eastAsia="Times New Roman" w:cs="Times New Roman"/>
          <w:sz w:val="24"/>
          <w:szCs w:val="24"/>
          <w:lang w:val="pt-PT" w:eastAsia="pt-BR"/>
        </w:rPr>
        <w:t>Fonte: Sala de Notícias do STJ</w:t>
      </w:r>
    </w:p>
    <w:p w:rsidR="00FD55B4" w:rsidRPr="002E7BBC" w:rsidRDefault="00806A17" w:rsidP="00A5750E">
      <w:pPr>
        <w:spacing w:after="240" w:line="360" w:lineRule="auto"/>
        <w:jc w:val="center"/>
      </w:pPr>
      <w:r w:rsidRPr="002E7BB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</w:p>
    <w:sectPr w:rsidR="00FD55B4" w:rsidRPr="002E7BBC" w:rsidSect="00A5750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D55B4"/>
    <w:rsid w:val="00223F64"/>
    <w:rsid w:val="002E7BBC"/>
    <w:rsid w:val="0063172D"/>
    <w:rsid w:val="006470EC"/>
    <w:rsid w:val="00806A17"/>
    <w:rsid w:val="008E190F"/>
    <w:rsid w:val="00A5750E"/>
    <w:rsid w:val="00C61B5C"/>
    <w:rsid w:val="00D342DF"/>
    <w:rsid w:val="00DD6AC6"/>
    <w:rsid w:val="00DE583C"/>
    <w:rsid w:val="00E0245B"/>
    <w:rsid w:val="00E31045"/>
    <w:rsid w:val="00E74A18"/>
    <w:rsid w:val="00F761E1"/>
    <w:rsid w:val="00F93FDF"/>
    <w:rsid w:val="00FD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E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70EC"/>
    <w:rPr>
      <w:color w:val="0000FF" w:themeColor="hyperlink"/>
      <w:u w:val="single"/>
    </w:rPr>
  </w:style>
  <w:style w:type="character" w:customStyle="1" w:styleId="titulotexto1">
    <w:name w:val="titulo_texto1"/>
    <w:basedOn w:val="Fontepargpadro"/>
    <w:rsid w:val="00806A17"/>
    <w:rPr>
      <w:rFonts w:ascii="Verdana" w:hAnsi="Verdana" w:hint="default"/>
      <w:b/>
      <w:bCs/>
      <w:strike w:val="0"/>
      <w:dstrike w:val="0"/>
      <w:color w:val="9D362E"/>
      <w:sz w:val="19"/>
      <w:szCs w:val="19"/>
      <w:u w:val="none"/>
      <w:effect w:val="none"/>
    </w:rPr>
  </w:style>
  <w:style w:type="character" w:styleId="Forte">
    <w:name w:val="Strong"/>
    <w:basedOn w:val="Fontepargpadro"/>
    <w:uiPriority w:val="22"/>
    <w:qFormat/>
    <w:rsid w:val="00806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57">
      <w:bodyDiv w:val="1"/>
      <w:marLeft w:val="17"/>
      <w:marRight w:val="1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0D0D0"/>
          </w:divBdr>
          <w:divsChild>
            <w:div w:id="1857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58771">
                              <w:marLeft w:val="28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27505">
                                      <w:marLeft w:val="171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single" w:sz="2" w:space="9" w:color="C8CCD8"/>
                                        <w:left w:val="single" w:sz="6" w:space="0" w:color="C8CCD8"/>
                                        <w:bottom w:val="single" w:sz="6" w:space="0" w:color="C8CCD8"/>
                                        <w:right w:val="single" w:sz="6" w:space="0" w:color="C8CCD8"/>
                                      </w:divBdr>
                                      <w:divsChild>
                                        <w:div w:id="1092897286">
                                          <w:marLeft w:val="30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9" w:color="C8CCD8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56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7579">
      <w:bodyDiv w:val="1"/>
      <w:marLeft w:val="17"/>
      <w:marRight w:val="1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0D0D0"/>
          </w:divBdr>
          <w:divsChild>
            <w:div w:id="11384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81767">
                              <w:marLeft w:val="28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2436">
                                      <w:marLeft w:val="171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single" w:sz="2" w:space="9" w:color="C8CCD8"/>
                                        <w:left w:val="single" w:sz="6" w:space="0" w:color="C8CCD8"/>
                                        <w:bottom w:val="single" w:sz="6" w:space="0" w:color="C8CCD8"/>
                                        <w:right w:val="single" w:sz="6" w:space="0" w:color="C8CCD8"/>
                                      </w:divBdr>
                                      <w:divsChild>
                                        <w:div w:id="120460860">
                                          <w:marLeft w:val="30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9" w:color="C8CCD8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19587">
      <w:bodyDiv w:val="1"/>
      <w:marLeft w:val="17"/>
      <w:marRight w:val="1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0D0D0"/>
          </w:divBdr>
          <w:divsChild>
            <w:div w:id="1031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2750">
                              <w:marLeft w:val="28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4604">
                                      <w:marLeft w:val="171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single" w:sz="2" w:space="9" w:color="C8CCD8"/>
                                        <w:left w:val="single" w:sz="6" w:space="0" w:color="C8CCD8"/>
                                        <w:bottom w:val="single" w:sz="6" w:space="0" w:color="C8CCD8"/>
                                        <w:right w:val="single" w:sz="6" w:space="0" w:color="C8CCD8"/>
                                      </w:divBdr>
                                      <w:divsChild>
                                        <w:div w:id="595098265">
                                          <w:marLeft w:val="30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9" w:color="C8CCD8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4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2013-09-10T14:48:00Z</dcterms:created>
  <dcterms:modified xsi:type="dcterms:W3CDTF">2013-09-10T14:48:00Z</dcterms:modified>
</cp:coreProperties>
</file>