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E1C1" w14:textId="1E116A87" w:rsidR="00226A81" w:rsidRDefault="00226A81" w:rsidP="00226A81">
      <w:pPr>
        <w:spacing w:after="0" w:line="360" w:lineRule="auto"/>
        <w:jc w:val="both"/>
        <w:rPr>
          <w:rFonts w:ascii="Century Gothic" w:hAnsi="Century Gothic" w:cs="Arial"/>
          <w:b/>
          <w:sz w:val="20"/>
          <w:szCs w:val="20"/>
        </w:rPr>
      </w:pPr>
      <w:bookmarkStart w:id="0" w:name="_GoBack"/>
      <w:bookmarkEnd w:id="0"/>
      <w:r>
        <w:rPr>
          <w:rFonts w:ascii="Century Gothic" w:hAnsi="Century Gothic" w:cstheme="majorHAnsi"/>
          <w:b/>
          <w:sz w:val="20"/>
          <w:szCs w:val="20"/>
        </w:rPr>
        <w:t xml:space="preserve">OBJETO: </w:t>
      </w:r>
      <w:r w:rsidRPr="00F711C6">
        <w:rPr>
          <w:rFonts w:ascii="Century Gothic" w:hAnsi="Century Gothic" w:cs="Arial"/>
          <w:b/>
          <w:sz w:val="20"/>
          <w:szCs w:val="20"/>
        </w:rPr>
        <w:t>MEDIDA PROVISÓRIA nº 759, de 22 de dezembro de 2016</w:t>
      </w:r>
      <w:r>
        <w:rPr>
          <w:rFonts w:ascii="Century Gothic" w:hAnsi="Century Gothic" w:cs="Arial"/>
          <w:b/>
          <w:sz w:val="20"/>
          <w:szCs w:val="20"/>
        </w:rPr>
        <w:t>.</w:t>
      </w:r>
    </w:p>
    <w:p w14:paraId="1D306CED" w14:textId="61A28B06" w:rsidR="00226A81" w:rsidRPr="00F711C6" w:rsidRDefault="00226A81" w:rsidP="00226A81">
      <w:pPr>
        <w:spacing w:after="0" w:line="360" w:lineRule="auto"/>
        <w:jc w:val="both"/>
        <w:rPr>
          <w:rFonts w:ascii="Century Gothic" w:hAnsi="Century Gothic"/>
          <w:sz w:val="20"/>
          <w:szCs w:val="20"/>
        </w:rPr>
      </w:pPr>
      <w:r>
        <w:rPr>
          <w:rFonts w:ascii="Century Gothic" w:hAnsi="Century Gothic" w:cs="Arial"/>
          <w:b/>
          <w:sz w:val="20"/>
          <w:szCs w:val="20"/>
        </w:rPr>
        <w:t xml:space="preserve">PROTOCOLADO </w:t>
      </w:r>
      <w:r w:rsidR="00146F05">
        <w:rPr>
          <w:rFonts w:ascii="Century Gothic" w:hAnsi="Century Gothic" w:cs="Arial"/>
          <w:b/>
          <w:sz w:val="20"/>
          <w:szCs w:val="20"/>
        </w:rPr>
        <w:t>MPSP Nº 1123/2017 (</w:t>
      </w:r>
      <w:r>
        <w:rPr>
          <w:rFonts w:ascii="Century Gothic" w:hAnsi="Century Gothic" w:cs="Arial"/>
          <w:b/>
          <w:sz w:val="20"/>
          <w:szCs w:val="20"/>
        </w:rPr>
        <w:t>CAO nº 1127/17-URB</w:t>
      </w:r>
      <w:r w:rsidR="00146F05">
        <w:rPr>
          <w:rFonts w:ascii="Century Gothic" w:hAnsi="Century Gothic" w:cs="Arial"/>
          <w:b/>
          <w:sz w:val="20"/>
          <w:szCs w:val="20"/>
        </w:rPr>
        <w:t>)</w:t>
      </w:r>
    </w:p>
    <w:p w14:paraId="08BE577F" w14:textId="2DF13B7A" w:rsidR="00226A81" w:rsidRDefault="00226A81" w:rsidP="00226A81">
      <w:pPr>
        <w:pStyle w:val="PargrafodaLista"/>
        <w:spacing w:after="0" w:line="360" w:lineRule="auto"/>
        <w:ind w:left="0"/>
        <w:jc w:val="both"/>
        <w:rPr>
          <w:rFonts w:ascii="Century Gothic" w:hAnsi="Century Gothic" w:cstheme="majorHAnsi"/>
          <w:b/>
          <w:sz w:val="20"/>
          <w:szCs w:val="20"/>
        </w:rPr>
      </w:pPr>
    </w:p>
    <w:p w14:paraId="3EDE08D2" w14:textId="6DA735AF" w:rsidR="00226A81" w:rsidRPr="00F711C6" w:rsidRDefault="00226A81" w:rsidP="00226A81">
      <w:pPr>
        <w:spacing w:after="0" w:line="360" w:lineRule="auto"/>
        <w:ind w:firstLine="1701"/>
        <w:jc w:val="both"/>
        <w:rPr>
          <w:rFonts w:ascii="Century Gothic" w:hAnsi="Century Gothic"/>
          <w:sz w:val="20"/>
          <w:szCs w:val="20"/>
        </w:rPr>
      </w:pPr>
      <w:r w:rsidRPr="00226A81">
        <w:rPr>
          <w:rFonts w:ascii="Century Gothic" w:hAnsi="Century Gothic"/>
          <w:sz w:val="20"/>
          <w:szCs w:val="20"/>
        </w:rPr>
        <w:t xml:space="preserve">O Ministério Público do Estado de São Paulo, pela Procuradoria-Geral de Justiça, vem a público posicionar-se em relação à </w:t>
      </w:r>
      <w:r>
        <w:rPr>
          <w:rFonts w:ascii="Century Gothic" w:hAnsi="Century Gothic"/>
          <w:sz w:val="20"/>
          <w:szCs w:val="20"/>
        </w:rPr>
        <w:t>Medida Provisória</w:t>
      </w:r>
      <w:r w:rsidRPr="00226A81">
        <w:rPr>
          <w:rFonts w:ascii="Century Gothic" w:hAnsi="Century Gothic"/>
          <w:sz w:val="20"/>
          <w:szCs w:val="20"/>
        </w:rPr>
        <w:t xml:space="preserve"> (</w:t>
      </w:r>
      <w:r>
        <w:rPr>
          <w:rFonts w:ascii="Century Gothic" w:hAnsi="Century Gothic"/>
          <w:sz w:val="20"/>
          <w:szCs w:val="20"/>
        </w:rPr>
        <w:t>MP</w:t>
      </w:r>
      <w:r w:rsidRPr="00226A81">
        <w:rPr>
          <w:rFonts w:ascii="Century Gothic" w:hAnsi="Century Gothic"/>
          <w:sz w:val="20"/>
          <w:szCs w:val="20"/>
        </w:rPr>
        <w:t xml:space="preserve">) </w:t>
      </w:r>
      <w:r>
        <w:rPr>
          <w:rFonts w:ascii="Century Gothic" w:hAnsi="Century Gothic"/>
          <w:sz w:val="20"/>
          <w:szCs w:val="20"/>
        </w:rPr>
        <w:t>nº 759, de 22 de dezembro de 2016, que d</w:t>
      </w:r>
      <w:r w:rsidRPr="00F711C6">
        <w:rPr>
          <w:rFonts w:ascii="Century Gothic" w:hAnsi="Century Gothic"/>
          <w:sz w:val="20"/>
          <w:szCs w:val="20"/>
        </w:rPr>
        <w:t>ispõe sobre a regularização fundiária rural e urbana, sobre a liquidação de créditos concedidos aos assentados da reforma agrária e sobre a regularização fundiária no âmbito da Amazônia Legal, institui mecanismos para aprimorar a eficiência dos procedimentos de alienação de imóveis da União, e dá outras providências</w:t>
      </w:r>
      <w:r>
        <w:rPr>
          <w:rFonts w:ascii="Century Gothic" w:hAnsi="Century Gothic"/>
          <w:sz w:val="20"/>
          <w:szCs w:val="20"/>
        </w:rPr>
        <w:t>, em trâmite na Comissão Mista do Congresso Nacional, sob a relatoria do Excelentíssimo Senador Romero Jucá</w:t>
      </w:r>
      <w:r w:rsidRPr="00F711C6">
        <w:rPr>
          <w:rFonts w:ascii="Century Gothic" w:hAnsi="Century Gothic"/>
          <w:sz w:val="20"/>
          <w:szCs w:val="20"/>
        </w:rPr>
        <w:t>.</w:t>
      </w:r>
    </w:p>
    <w:p w14:paraId="34536973" w14:textId="39821FCE" w:rsidR="00226A81" w:rsidRPr="00226A81" w:rsidRDefault="00226A81" w:rsidP="00226A81">
      <w:pPr>
        <w:spacing w:line="360" w:lineRule="auto"/>
        <w:ind w:firstLine="1701"/>
        <w:jc w:val="both"/>
        <w:rPr>
          <w:rFonts w:ascii="Century Gothic" w:hAnsi="Century Gothic"/>
          <w:sz w:val="20"/>
          <w:szCs w:val="20"/>
        </w:rPr>
      </w:pPr>
    </w:p>
    <w:p w14:paraId="333C3125" w14:textId="5C9B2075" w:rsidR="007A6B16" w:rsidRPr="00D27944" w:rsidRDefault="007A6B16" w:rsidP="00226A81">
      <w:pPr>
        <w:pStyle w:val="PargrafodaLista"/>
        <w:numPr>
          <w:ilvl w:val="0"/>
          <w:numId w:val="2"/>
        </w:numPr>
        <w:spacing w:after="0" w:line="360" w:lineRule="auto"/>
        <w:jc w:val="both"/>
        <w:rPr>
          <w:rFonts w:ascii="Century Gothic" w:hAnsi="Century Gothic" w:cstheme="majorHAnsi"/>
          <w:b/>
          <w:sz w:val="20"/>
          <w:szCs w:val="20"/>
        </w:rPr>
      </w:pPr>
      <w:r w:rsidRPr="00D27944">
        <w:rPr>
          <w:rFonts w:ascii="Century Gothic" w:hAnsi="Century Gothic" w:cstheme="majorHAnsi"/>
          <w:b/>
          <w:sz w:val="20"/>
          <w:szCs w:val="20"/>
        </w:rPr>
        <w:t>DA FALTA DE APLICABILIDADE IMEDIATA DA LEGISLAÇÃO</w:t>
      </w:r>
    </w:p>
    <w:p w14:paraId="6682B584" w14:textId="77777777" w:rsidR="00384783" w:rsidRDefault="00384783" w:rsidP="00C9650C">
      <w:pPr>
        <w:pStyle w:val="PargrafodaLista"/>
        <w:spacing w:after="0" w:line="360" w:lineRule="auto"/>
        <w:ind w:left="0" w:firstLine="1701"/>
        <w:jc w:val="both"/>
        <w:rPr>
          <w:rFonts w:ascii="Century Gothic" w:hAnsi="Century Gothic" w:cstheme="majorHAnsi"/>
          <w:sz w:val="20"/>
          <w:szCs w:val="20"/>
        </w:rPr>
      </w:pPr>
    </w:p>
    <w:p w14:paraId="438B32B8" w14:textId="1ED7E47A" w:rsidR="007A6B16" w:rsidRDefault="00BD138F" w:rsidP="00C9650C">
      <w:pPr>
        <w:pStyle w:val="PargrafodaLista"/>
        <w:spacing w:after="0" w:line="360" w:lineRule="auto"/>
        <w:ind w:left="0" w:firstLine="1701"/>
        <w:jc w:val="both"/>
        <w:rPr>
          <w:rFonts w:ascii="Century Gothic" w:hAnsi="Century Gothic" w:cstheme="majorHAnsi"/>
          <w:sz w:val="20"/>
          <w:szCs w:val="20"/>
        </w:rPr>
      </w:pPr>
      <w:r w:rsidRPr="00D27944">
        <w:rPr>
          <w:rFonts w:ascii="Century Gothic" w:hAnsi="Century Gothic" w:cstheme="majorHAnsi"/>
          <w:sz w:val="20"/>
          <w:szCs w:val="20"/>
        </w:rPr>
        <w:t>Para uma legislação justificada na necessidade de enfrentamento do problema da irregularidade fundiária no Brasil, salta aos olhos a utilização</w:t>
      </w:r>
      <w:r w:rsidR="00D40705">
        <w:rPr>
          <w:rFonts w:ascii="Century Gothic" w:hAnsi="Century Gothic" w:cstheme="majorHAnsi"/>
          <w:sz w:val="20"/>
          <w:szCs w:val="20"/>
        </w:rPr>
        <w:t>, na MP nº 759/2016,</w:t>
      </w:r>
      <w:r w:rsidRPr="00D27944">
        <w:rPr>
          <w:rFonts w:ascii="Century Gothic" w:hAnsi="Century Gothic" w:cstheme="majorHAnsi"/>
          <w:sz w:val="20"/>
          <w:szCs w:val="20"/>
        </w:rPr>
        <w:t xml:space="preserve"> de diversos conceitos indeterminados e dependentes de posterior regulamentação por ato do Poder Executivo.</w:t>
      </w:r>
    </w:p>
    <w:p w14:paraId="2B4857BC" w14:textId="77777777" w:rsidR="00D414DA" w:rsidRPr="00D27944" w:rsidRDefault="00D414DA" w:rsidP="00C9650C">
      <w:pPr>
        <w:pStyle w:val="PargrafodaLista"/>
        <w:spacing w:after="0" w:line="360" w:lineRule="auto"/>
        <w:ind w:left="0" w:firstLine="1701"/>
        <w:jc w:val="both"/>
        <w:rPr>
          <w:rFonts w:ascii="Century Gothic" w:hAnsi="Century Gothic" w:cstheme="majorHAnsi"/>
          <w:sz w:val="20"/>
          <w:szCs w:val="20"/>
        </w:rPr>
      </w:pPr>
    </w:p>
    <w:p w14:paraId="6F6E1EED" w14:textId="2345F679" w:rsidR="00BD138F" w:rsidRDefault="00BD138F" w:rsidP="00C9650C">
      <w:pPr>
        <w:pStyle w:val="PargrafodaLista"/>
        <w:spacing w:after="0" w:line="360" w:lineRule="auto"/>
        <w:ind w:left="0" w:firstLine="1701"/>
        <w:jc w:val="both"/>
        <w:rPr>
          <w:rFonts w:ascii="Century Gothic" w:hAnsi="Century Gothic" w:cstheme="majorHAnsi"/>
          <w:sz w:val="20"/>
          <w:szCs w:val="20"/>
        </w:rPr>
      </w:pPr>
      <w:r w:rsidRPr="00D27944">
        <w:rPr>
          <w:rFonts w:ascii="Century Gothic" w:hAnsi="Century Gothic" w:cstheme="majorHAnsi"/>
          <w:sz w:val="20"/>
          <w:szCs w:val="20"/>
        </w:rPr>
        <w:t xml:space="preserve">A lei que anteriormente tratava da regularização fundiária urbana – Lei nº 11.977/09 – não utilizava tal técnica, que somente serve a procrastinar a plena aplicabilidade da regularização fundiária. </w:t>
      </w:r>
    </w:p>
    <w:p w14:paraId="1026A9D5" w14:textId="77777777" w:rsidR="00D414DA" w:rsidRPr="00D27944" w:rsidRDefault="00D414DA" w:rsidP="00C9650C">
      <w:pPr>
        <w:pStyle w:val="PargrafodaLista"/>
        <w:spacing w:after="0" w:line="360" w:lineRule="auto"/>
        <w:ind w:left="0" w:firstLine="1701"/>
        <w:jc w:val="both"/>
        <w:rPr>
          <w:rFonts w:ascii="Century Gothic" w:hAnsi="Century Gothic" w:cstheme="majorHAnsi"/>
          <w:sz w:val="20"/>
          <w:szCs w:val="20"/>
        </w:rPr>
      </w:pPr>
    </w:p>
    <w:p w14:paraId="28A52E0D" w14:textId="0E9F7A0A" w:rsidR="007A6B16" w:rsidRDefault="00BD138F" w:rsidP="00C9650C">
      <w:pPr>
        <w:pStyle w:val="PargrafodaLista"/>
        <w:spacing w:after="0" w:line="360" w:lineRule="auto"/>
        <w:ind w:left="0" w:firstLine="1701"/>
        <w:jc w:val="both"/>
        <w:rPr>
          <w:rFonts w:ascii="Century Gothic" w:hAnsi="Century Gothic" w:cstheme="majorHAnsi"/>
          <w:sz w:val="20"/>
          <w:szCs w:val="20"/>
        </w:rPr>
      </w:pPr>
      <w:r w:rsidRPr="00D27944">
        <w:rPr>
          <w:rFonts w:ascii="Century Gothic" w:hAnsi="Century Gothic" w:cstheme="majorHAnsi"/>
          <w:sz w:val="20"/>
          <w:szCs w:val="20"/>
        </w:rPr>
        <w:t xml:space="preserve">Além disso, </w:t>
      </w:r>
      <w:r w:rsidR="00AE2683">
        <w:rPr>
          <w:rFonts w:ascii="Century Gothic" w:hAnsi="Century Gothic" w:cstheme="majorHAnsi"/>
          <w:sz w:val="20"/>
          <w:szCs w:val="20"/>
        </w:rPr>
        <w:t>em se tratando de</w:t>
      </w:r>
      <w:r w:rsidRPr="00D27944">
        <w:rPr>
          <w:rFonts w:ascii="Century Gothic" w:hAnsi="Century Gothic" w:cstheme="majorHAnsi"/>
          <w:sz w:val="20"/>
          <w:szCs w:val="20"/>
        </w:rPr>
        <w:t xml:space="preserve"> instrumento normativo que pretende ser norma geral de direi</w:t>
      </w:r>
      <w:r w:rsidR="00D27944">
        <w:rPr>
          <w:rFonts w:ascii="Century Gothic" w:hAnsi="Century Gothic" w:cstheme="majorHAnsi"/>
          <w:sz w:val="20"/>
          <w:szCs w:val="20"/>
        </w:rPr>
        <w:t>to urbanístico, em consonância à</w:t>
      </w:r>
      <w:r w:rsidRPr="00D27944">
        <w:rPr>
          <w:rFonts w:ascii="Century Gothic" w:hAnsi="Century Gothic" w:cstheme="majorHAnsi"/>
          <w:sz w:val="20"/>
          <w:szCs w:val="20"/>
        </w:rPr>
        <w:t xml:space="preserve"> competência concorrente para legislar sobre direito urbanístico (art. 24, I, da Constituição Federal), </w:t>
      </w:r>
      <w:r w:rsidRPr="00C930B6">
        <w:rPr>
          <w:rFonts w:ascii="Century Gothic" w:hAnsi="Century Gothic" w:cstheme="majorHAnsi"/>
          <w:sz w:val="20"/>
          <w:szCs w:val="20"/>
          <w:u w:val="single"/>
        </w:rPr>
        <w:t>não se justifica que os conceitos não sejam trazidos pela própria lei</w:t>
      </w:r>
      <w:r w:rsidRPr="00D27944">
        <w:rPr>
          <w:rFonts w:ascii="Century Gothic" w:hAnsi="Century Gothic" w:cstheme="majorHAnsi"/>
          <w:sz w:val="20"/>
          <w:szCs w:val="20"/>
        </w:rPr>
        <w:t xml:space="preserve">, cabendo aos </w:t>
      </w:r>
      <w:r w:rsidRPr="00C930B6">
        <w:rPr>
          <w:rFonts w:ascii="Century Gothic" w:hAnsi="Century Gothic" w:cstheme="majorHAnsi"/>
          <w:sz w:val="20"/>
          <w:szCs w:val="20"/>
          <w:u w:val="single"/>
        </w:rPr>
        <w:t>demais entes da federação</w:t>
      </w:r>
      <w:r w:rsidRPr="00D27944">
        <w:rPr>
          <w:rFonts w:ascii="Century Gothic" w:hAnsi="Century Gothic" w:cstheme="majorHAnsi"/>
          <w:sz w:val="20"/>
          <w:szCs w:val="20"/>
        </w:rPr>
        <w:t>, no exercício de suas competências, a disciplina mais especificada.</w:t>
      </w:r>
    </w:p>
    <w:p w14:paraId="2D220ED3" w14:textId="77777777" w:rsidR="00D414DA" w:rsidRPr="00D27944" w:rsidRDefault="00D414DA" w:rsidP="00C9650C">
      <w:pPr>
        <w:pStyle w:val="PargrafodaLista"/>
        <w:spacing w:after="0" w:line="360" w:lineRule="auto"/>
        <w:ind w:left="0" w:firstLine="1701"/>
        <w:jc w:val="both"/>
        <w:rPr>
          <w:rFonts w:ascii="Century Gothic" w:hAnsi="Century Gothic" w:cstheme="majorHAnsi"/>
          <w:sz w:val="20"/>
          <w:szCs w:val="20"/>
        </w:rPr>
      </w:pPr>
    </w:p>
    <w:p w14:paraId="3DE6494F" w14:textId="4FB41A48" w:rsidR="00BD138F" w:rsidRPr="00D27944" w:rsidRDefault="00BD138F" w:rsidP="00C9650C">
      <w:pPr>
        <w:pStyle w:val="PargrafodaLista"/>
        <w:spacing w:after="0" w:line="360" w:lineRule="auto"/>
        <w:ind w:left="0" w:firstLine="1701"/>
        <w:jc w:val="both"/>
        <w:rPr>
          <w:rFonts w:ascii="Century Gothic" w:hAnsi="Century Gothic" w:cstheme="majorHAnsi"/>
          <w:sz w:val="20"/>
          <w:szCs w:val="20"/>
        </w:rPr>
      </w:pPr>
      <w:r w:rsidRPr="00D27944">
        <w:rPr>
          <w:rFonts w:ascii="Century Gothic" w:hAnsi="Century Gothic" w:cstheme="majorHAnsi"/>
          <w:sz w:val="20"/>
          <w:szCs w:val="20"/>
        </w:rPr>
        <w:t>Saliente-se que se relegar para ato futuro do Poder Executivo a regulamentação de pontos sensíveis da legislação é fator de insegurança jurídica, o que pode dificultar a aplicação da lei.</w:t>
      </w:r>
    </w:p>
    <w:p w14:paraId="1EFB2AD7" w14:textId="77777777" w:rsidR="00BD138F" w:rsidRPr="00D27944" w:rsidRDefault="00BD138F" w:rsidP="008A2EC0">
      <w:pPr>
        <w:pStyle w:val="PargrafodaLista"/>
        <w:spacing w:after="0" w:line="360" w:lineRule="auto"/>
        <w:ind w:left="0"/>
        <w:jc w:val="both"/>
        <w:rPr>
          <w:rFonts w:ascii="Century Gothic" w:hAnsi="Century Gothic" w:cstheme="majorHAnsi"/>
          <w:b/>
          <w:sz w:val="20"/>
          <w:szCs w:val="20"/>
        </w:rPr>
      </w:pPr>
    </w:p>
    <w:p w14:paraId="4C5CB049" w14:textId="06930D5D" w:rsidR="00BA6B40" w:rsidRPr="00D27944" w:rsidRDefault="009E5CB3" w:rsidP="00226A81">
      <w:pPr>
        <w:pStyle w:val="PargrafodaLista"/>
        <w:numPr>
          <w:ilvl w:val="0"/>
          <w:numId w:val="2"/>
        </w:numPr>
        <w:spacing w:after="0" w:line="360" w:lineRule="auto"/>
        <w:jc w:val="both"/>
        <w:rPr>
          <w:rFonts w:ascii="Century Gothic" w:hAnsi="Century Gothic" w:cstheme="majorHAnsi"/>
          <w:b/>
          <w:sz w:val="20"/>
          <w:szCs w:val="20"/>
        </w:rPr>
      </w:pPr>
      <w:r w:rsidRPr="00D27944">
        <w:rPr>
          <w:rFonts w:ascii="Century Gothic" w:hAnsi="Century Gothic" w:cstheme="majorHAnsi"/>
          <w:b/>
          <w:sz w:val="20"/>
          <w:szCs w:val="20"/>
        </w:rPr>
        <w:t>DA DEFINIÇÃO DE REGULARIZAÇÃO FUNDIÁRIA</w:t>
      </w:r>
    </w:p>
    <w:p w14:paraId="12A59800" w14:textId="77777777" w:rsidR="00384783" w:rsidRDefault="00384783" w:rsidP="00C9650C">
      <w:pPr>
        <w:pStyle w:val="PargrafodaLista"/>
        <w:spacing w:after="0" w:line="360" w:lineRule="auto"/>
        <w:ind w:left="0" w:firstLine="1701"/>
        <w:jc w:val="both"/>
        <w:rPr>
          <w:rFonts w:ascii="Century Gothic" w:hAnsi="Century Gothic" w:cstheme="majorHAnsi"/>
          <w:sz w:val="20"/>
          <w:szCs w:val="20"/>
        </w:rPr>
      </w:pPr>
    </w:p>
    <w:p w14:paraId="1AE3CE11" w14:textId="1FA439DC" w:rsidR="005E5BA8" w:rsidRDefault="009E5CB3" w:rsidP="00C9650C">
      <w:pPr>
        <w:pStyle w:val="PargrafodaLista"/>
        <w:spacing w:after="0" w:line="360" w:lineRule="auto"/>
        <w:ind w:left="0" w:firstLine="1701"/>
        <w:jc w:val="both"/>
        <w:rPr>
          <w:rFonts w:ascii="Century Gothic" w:hAnsi="Century Gothic" w:cstheme="majorHAnsi"/>
          <w:sz w:val="20"/>
          <w:szCs w:val="20"/>
        </w:rPr>
      </w:pPr>
      <w:r w:rsidRPr="00D27944">
        <w:rPr>
          <w:rFonts w:ascii="Century Gothic" w:hAnsi="Century Gothic" w:cstheme="majorHAnsi"/>
          <w:sz w:val="20"/>
          <w:szCs w:val="20"/>
        </w:rPr>
        <w:t xml:space="preserve">A regularização fundiária é definida no </w:t>
      </w:r>
      <w:r w:rsidRPr="00D27944">
        <w:rPr>
          <w:rFonts w:ascii="Century Gothic" w:hAnsi="Century Gothic" w:cstheme="majorHAnsi"/>
          <w:i/>
          <w:sz w:val="20"/>
          <w:szCs w:val="20"/>
        </w:rPr>
        <w:t>caput</w:t>
      </w:r>
      <w:r w:rsidRPr="00D27944">
        <w:rPr>
          <w:rFonts w:ascii="Century Gothic" w:hAnsi="Century Gothic" w:cstheme="majorHAnsi"/>
          <w:sz w:val="20"/>
          <w:szCs w:val="20"/>
        </w:rPr>
        <w:t xml:space="preserve"> do artigo 8º da </w:t>
      </w:r>
      <w:r w:rsidR="00D40705">
        <w:rPr>
          <w:rFonts w:ascii="Century Gothic" w:hAnsi="Century Gothic" w:cstheme="majorHAnsi"/>
          <w:sz w:val="20"/>
          <w:szCs w:val="20"/>
        </w:rPr>
        <w:t>MP</w:t>
      </w:r>
      <w:r w:rsidRPr="00D27944">
        <w:rPr>
          <w:rFonts w:ascii="Century Gothic" w:hAnsi="Century Gothic" w:cstheme="majorHAnsi"/>
          <w:sz w:val="20"/>
          <w:szCs w:val="20"/>
        </w:rPr>
        <w:t xml:space="preserve"> nº 759</w:t>
      </w:r>
      <w:r w:rsidR="00D27944">
        <w:rPr>
          <w:rFonts w:ascii="Century Gothic" w:hAnsi="Century Gothic" w:cstheme="majorHAnsi"/>
          <w:sz w:val="20"/>
          <w:szCs w:val="20"/>
        </w:rPr>
        <w:t>/2016</w:t>
      </w:r>
      <w:r w:rsidRPr="00D27944">
        <w:rPr>
          <w:rFonts w:ascii="Century Gothic" w:hAnsi="Century Gothic" w:cstheme="majorHAnsi"/>
          <w:sz w:val="20"/>
          <w:szCs w:val="20"/>
        </w:rPr>
        <w:t xml:space="preserve"> como o conjunto de</w:t>
      </w:r>
      <w:r w:rsidRPr="00D27944">
        <w:rPr>
          <w:rFonts w:ascii="Century Gothic" w:hAnsi="Century Gothic" w:cstheme="majorHAnsi"/>
          <w:i/>
          <w:sz w:val="20"/>
          <w:szCs w:val="20"/>
        </w:rPr>
        <w:t xml:space="preserve"> “medidas jurídicas, urbanísticas, ambientais e sociais que visam à regularização de núcleos urbanos informais”</w:t>
      </w:r>
      <w:r w:rsidRPr="00D27944">
        <w:rPr>
          <w:rFonts w:ascii="Century Gothic" w:hAnsi="Century Gothic" w:cstheme="majorHAnsi"/>
          <w:sz w:val="20"/>
          <w:szCs w:val="20"/>
        </w:rPr>
        <w:t>.</w:t>
      </w:r>
    </w:p>
    <w:p w14:paraId="612CDD78" w14:textId="77777777" w:rsidR="00D414DA" w:rsidRPr="00D27944" w:rsidRDefault="00D414DA" w:rsidP="00C9650C">
      <w:pPr>
        <w:pStyle w:val="PargrafodaLista"/>
        <w:spacing w:after="0" w:line="360" w:lineRule="auto"/>
        <w:ind w:left="0" w:firstLine="1701"/>
        <w:jc w:val="both"/>
        <w:rPr>
          <w:rFonts w:ascii="Century Gothic" w:hAnsi="Century Gothic" w:cstheme="majorHAnsi"/>
          <w:b/>
          <w:sz w:val="20"/>
          <w:szCs w:val="20"/>
        </w:rPr>
      </w:pPr>
    </w:p>
    <w:p w14:paraId="5C28837F" w14:textId="77777777" w:rsidR="00D414DA" w:rsidRDefault="009E5CB3" w:rsidP="00C9650C">
      <w:pPr>
        <w:spacing w:after="0" w:line="360" w:lineRule="auto"/>
        <w:ind w:firstLine="1701"/>
        <w:jc w:val="both"/>
        <w:rPr>
          <w:rFonts w:ascii="Century Gothic" w:hAnsi="Century Gothic" w:cstheme="majorHAnsi"/>
          <w:sz w:val="20"/>
          <w:szCs w:val="20"/>
        </w:rPr>
      </w:pPr>
      <w:r w:rsidRPr="00D27944">
        <w:rPr>
          <w:rFonts w:ascii="Century Gothic" w:hAnsi="Century Gothic" w:cstheme="majorHAnsi"/>
          <w:sz w:val="20"/>
          <w:szCs w:val="20"/>
        </w:rPr>
        <w:t>O entendimento construído a partir da Lei nº 11.977/09 é de que a regularização fundiária busca a integração da “cidade informal” – todas as formas de ocupação que apresentam algum tipo de irregularidade – com a “cidade formal”, e para tanto são necessárias ações complementares, envolvendo políticas públicas diversas. Assim, não se pode pensar em</w:t>
      </w:r>
      <w:r w:rsidR="00D27944">
        <w:rPr>
          <w:rFonts w:ascii="Century Gothic" w:hAnsi="Century Gothic" w:cstheme="majorHAnsi"/>
          <w:sz w:val="20"/>
          <w:szCs w:val="20"/>
        </w:rPr>
        <w:t xml:space="preserve"> regularização plena</w:t>
      </w:r>
      <w:r w:rsidRPr="00D27944">
        <w:rPr>
          <w:rFonts w:ascii="Century Gothic" w:hAnsi="Century Gothic" w:cstheme="majorHAnsi"/>
          <w:sz w:val="20"/>
          <w:szCs w:val="20"/>
        </w:rPr>
        <w:t xml:space="preserve"> sem a adoção de políticas de assistência social e de geração de emprego e renda, por exemplo. De nada adianta a juridicização do assentamento se seus moradores continuarem marginalizados, pois isso, inevitavelmente, os levará para uma nova situação de informalidade. </w:t>
      </w:r>
    </w:p>
    <w:p w14:paraId="32D27F12" w14:textId="77777777" w:rsidR="00D414DA" w:rsidRDefault="00D414DA" w:rsidP="00C9650C">
      <w:pPr>
        <w:spacing w:after="0" w:line="360" w:lineRule="auto"/>
        <w:ind w:firstLine="1701"/>
        <w:jc w:val="both"/>
        <w:rPr>
          <w:rFonts w:ascii="Century Gothic" w:hAnsi="Century Gothic" w:cstheme="majorHAnsi"/>
          <w:sz w:val="20"/>
          <w:szCs w:val="20"/>
        </w:rPr>
      </w:pPr>
    </w:p>
    <w:p w14:paraId="30652B15" w14:textId="78862AD7" w:rsidR="009E5CB3" w:rsidRPr="00D27944" w:rsidRDefault="00D414DA" w:rsidP="00C9650C">
      <w:pPr>
        <w:spacing w:after="0" w:line="360" w:lineRule="auto"/>
        <w:ind w:firstLine="1701"/>
        <w:jc w:val="both"/>
        <w:rPr>
          <w:rFonts w:ascii="Century Gothic" w:hAnsi="Century Gothic" w:cstheme="majorHAnsi"/>
          <w:sz w:val="20"/>
          <w:szCs w:val="20"/>
        </w:rPr>
      </w:pPr>
      <w:r>
        <w:rPr>
          <w:rFonts w:ascii="Century Gothic" w:hAnsi="Century Gothic" w:cstheme="majorHAnsi"/>
          <w:sz w:val="20"/>
          <w:szCs w:val="20"/>
        </w:rPr>
        <w:t xml:space="preserve">Em outras palavras, a simples busca pela titulação da terra – que parece ter sido privilegiada pela MP nº 759/2016 – é apenas uma das </w:t>
      </w:r>
      <w:r w:rsidRPr="00D414DA">
        <w:rPr>
          <w:rFonts w:ascii="Century Gothic" w:hAnsi="Century Gothic" w:cstheme="majorHAnsi"/>
          <w:sz w:val="20"/>
          <w:szCs w:val="20"/>
          <w:u w:val="single"/>
        </w:rPr>
        <w:t>etapas</w:t>
      </w:r>
      <w:r>
        <w:rPr>
          <w:rFonts w:ascii="Century Gothic" w:hAnsi="Century Gothic" w:cstheme="majorHAnsi"/>
          <w:sz w:val="20"/>
          <w:szCs w:val="20"/>
        </w:rPr>
        <w:t xml:space="preserve"> da regularização fundiária plena, que é muito mais ampla.</w:t>
      </w:r>
    </w:p>
    <w:p w14:paraId="10789D40" w14:textId="77777777" w:rsidR="00D414DA" w:rsidRDefault="00D414DA" w:rsidP="00C9650C">
      <w:pPr>
        <w:spacing w:after="0" w:line="360" w:lineRule="auto"/>
        <w:ind w:firstLine="1701"/>
        <w:jc w:val="both"/>
        <w:rPr>
          <w:rFonts w:ascii="Century Gothic" w:hAnsi="Century Gothic" w:cstheme="majorHAnsi"/>
          <w:sz w:val="20"/>
          <w:szCs w:val="20"/>
        </w:rPr>
      </w:pPr>
    </w:p>
    <w:p w14:paraId="3432945B" w14:textId="7E35633C" w:rsidR="009E5CB3" w:rsidRPr="00D27944" w:rsidRDefault="009E5CB3" w:rsidP="00C9650C">
      <w:pPr>
        <w:spacing w:after="0" w:line="360" w:lineRule="auto"/>
        <w:ind w:firstLine="1701"/>
        <w:jc w:val="both"/>
        <w:rPr>
          <w:rFonts w:ascii="Century Gothic" w:hAnsi="Century Gothic" w:cstheme="majorHAnsi"/>
          <w:sz w:val="20"/>
          <w:szCs w:val="20"/>
        </w:rPr>
      </w:pPr>
      <w:r w:rsidRPr="00D27944">
        <w:rPr>
          <w:rFonts w:ascii="Century Gothic" w:hAnsi="Century Gothic" w:cstheme="majorHAnsi"/>
          <w:sz w:val="20"/>
          <w:szCs w:val="20"/>
        </w:rPr>
        <w:t xml:space="preserve">Nesse sentido, a definição de regularização fundiária deve deixar expressas suas </w:t>
      </w:r>
      <w:r w:rsidRPr="00C930B6">
        <w:rPr>
          <w:rFonts w:ascii="Century Gothic" w:hAnsi="Century Gothic" w:cstheme="majorHAnsi"/>
          <w:sz w:val="20"/>
          <w:szCs w:val="20"/>
          <w:u w:val="single"/>
        </w:rPr>
        <w:t>diretrizes fundamentais</w:t>
      </w:r>
      <w:r w:rsidRPr="00D27944">
        <w:rPr>
          <w:rFonts w:ascii="Century Gothic" w:hAnsi="Century Gothic" w:cstheme="majorHAnsi"/>
          <w:sz w:val="20"/>
          <w:szCs w:val="20"/>
        </w:rPr>
        <w:t xml:space="preserve">, que </w:t>
      </w:r>
      <w:r w:rsidR="00D27944">
        <w:rPr>
          <w:rFonts w:ascii="Century Gothic" w:hAnsi="Century Gothic" w:cstheme="majorHAnsi"/>
          <w:sz w:val="20"/>
          <w:szCs w:val="20"/>
        </w:rPr>
        <w:t>podem</w:t>
      </w:r>
      <w:r w:rsidRPr="00D27944">
        <w:rPr>
          <w:rFonts w:ascii="Century Gothic" w:hAnsi="Century Gothic" w:cstheme="majorHAnsi"/>
          <w:sz w:val="20"/>
          <w:szCs w:val="20"/>
        </w:rPr>
        <w:t xml:space="preserve"> ser extraídas, em primeiro lugar, da Constituição Federal – o cumprimento das funções sociais da cidade e a garantia ao bem-estar dos seus habitantes (art. 182, </w:t>
      </w:r>
      <w:r w:rsidRPr="00D27944">
        <w:rPr>
          <w:rFonts w:ascii="Century Gothic" w:hAnsi="Century Gothic" w:cstheme="majorHAnsi"/>
          <w:i/>
          <w:sz w:val="20"/>
          <w:szCs w:val="20"/>
        </w:rPr>
        <w:t>caput</w:t>
      </w:r>
      <w:r w:rsidRPr="00D27944">
        <w:rPr>
          <w:rFonts w:ascii="Century Gothic" w:hAnsi="Century Gothic" w:cstheme="majorHAnsi"/>
          <w:sz w:val="20"/>
          <w:szCs w:val="20"/>
        </w:rPr>
        <w:t>)</w:t>
      </w:r>
      <w:r w:rsidR="00D27944">
        <w:rPr>
          <w:rStyle w:val="Refdenotaderodap"/>
          <w:rFonts w:ascii="Century Gothic" w:hAnsi="Century Gothic" w:cstheme="majorHAnsi"/>
          <w:sz w:val="20"/>
          <w:szCs w:val="20"/>
        </w:rPr>
        <w:footnoteReference w:id="1"/>
      </w:r>
      <w:r w:rsidRPr="00D27944">
        <w:rPr>
          <w:rFonts w:ascii="Century Gothic" w:hAnsi="Century Gothic" w:cstheme="majorHAnsi"/>
          <w:sz w:val="20"/>
          <w:szCs w:val="20"/>
        </w:rPr>
        <w:t xml:space="preserve"> – e, depois, do Estatuto da Cidade – com especial destaque para o direito a cidades sustentáveis, o planejamento no controle e uso do solo e a priorização ao atendimento à população de baixa renda (art. 2º)</w:t>
      </w:r>
      <w:r w:rsidR="00AE2683">
        <w:rPr>
          <w:rFonts w:ascii="Century Gothic" w:hAnsi="Century Gothic" w:cstheme="majorHAnsi"/>
          <w:sz w:val="20"/>
          <w:szCs w:val="20"/>
        </w:rPr>
        <w:t>.</w:t>
      </w:r>
      <w:r w:rsidR="00D40705">
        <w:rPr>
          <w:rStyle w:val="Refdenotaderodap"/>
          <w:rFonts w:ascii="Century Gothic" w:hAnsi="Century Gothic" w:cstheme="majorHAnsi"/>
          <w:sz w:val="20"/>
          <w:szCs w:val="20"/>
        </w:rPr>
        <w:footnoteReference w:id="2"/>
      </w:r>
      <w:r w:rsidR="004F5237" w:rsidRPr="00D27944">
        <w:rPr>
          <w:rFonts w:ascii="Century Gothic" w:hAnsi="Century Gothic" w:cstheme="majorHAnsi"/>
          <w:sz w:val="20"/>
          <w:szCs w:val="20"/>
        </w:rPr>
        <w:t xml:space="preserve"> Destaque-se que, embora o parágrafo único </w:t>
      </w:r>
      <w:r w:rsidR="004F5237" w:rsidRPr="00D27944">
        <w:rPr>
          <w:rFonts w:ascii="Century Gothic" w:hAnsi="Century Gothic" w:cstheme="majorHAnsi"/>
          <w:sz w:val="20"/>
          <w:szCs w:val="20"/>
        </w:rPr>
        <w:lastRenderedPageBreak/>
        <w:t>do art. 8º da MP nº 759/2016 elenque princípios</w:t>
      </w:r>
      <w:r w:rsidR="00D40705">
        <w:rPr>
          <w:rStyle w:val="Refdenotaderodap"/>
          <w:rFonts w:ascii="Century Gothic" w:hAnsi="Century Gothic" w:cstheme="majorHAnsi"/>
          <w:sz w:val="20"/>
          <w:szCs w:val="20"/>
        </w:rPr>
        <w:footnoteReference w:id="3"/>
      </w:r>
      <w:r w:rsidR="004F5237" w:rsidRPr="00D27944">
        <w:rPr>
          <w:rFonts w:ascii="Century Gothic" w:hAnsi="Century Gothic" w:cstheme="majorHAnsi"/>
          <w:sz w:val="20"/>
          <w:szCs w:val="20"/>
        </w:rPr>
        <w:t>, há dificuldade na exata compreensão de alguns e em que medida seriam aplicáveis à regularização fundiária (como a competitividade, a eficiência energética e a complexidade funcional).</w:t>
      </w:r>
    </w:p>
    <w:p w14:paraId="137224BA" w14:textId="77777777" w:rsidR="009E5CB3" w:rsidRPr="00D27944" w:rsidRDefault="009E5CB3" w:rsidP="008A2EC0">
      <w:pPr>
        <w:spacing w:after="0" w:line="360" w:lineRule="auto"/>
        <w:jc w:val="both"/>
        <w:rPr>
          <w:rFonts w:ascii="Century Gothic" w:hAnsi="Century Gothic" w:cstheme="majorHAnsi"/>
          <w:sz w:val="20"/>
          <w:szCs w:val="20"/>
        </w:rPr>
      </w:pPr>
    </w:p>
    <w:p w14:paraId="1CF7B9DB" w14:textId="54690EFF" w:rsidR="00BA6B40" w:rsidRPr="00226A81" w:rsidRDefault="009E5CB3" w:rsidP="00226A81">
      <w:pPr>
        <w:pStyle w:val="PargrafodaLista"/>
        <w:numPr>
          <w:ilvl w:val="0"/>
          <w:numId w:val="2"/>
        </w:numPr>
        <w:spacing w:after="0" w:line="360" w:lineRule="auto"/>
        <w:jc w:val="both"/>
        <w:rPr>
          <w:rFonts w:ascii="Century Gothic" w:hAnsi="Century Gothic" w:cstheme="majorHAnsi"/>
          <w:b/>
          <w:sz w:val="20"/>
          <w:szCs w:val="20"/>
        </w:rPr>
      </w:pPr>
      <w:r w:rsidRPr="00226A81">
        <w:rPr>
          <w:rFonts w:ascii="Century Gothic" w:hAnsi="Century Gothic" w:cstheme="majorHAnsi"/>
          <w:b/>
          <w:sz w:val="20"/>
          <w:szCs w:val="20"/>
        </w:rPr>
        <w:t>DA DEFINIÇÃO DE NÚCLEOS URBANOS INFORMAIS</w:t>
      </w:r>
    </w:p>
    <w:p w14:paraId="54556A73" w14:textId="77777777" w:rsidR="00384783" w:rsidRDefault="00384783" w:rsidP="00C9650C">
      <w:pPr>
        <w:spacing w:after="0" w:line="360" w:lineRule="auto"/>
        <w:ind w:firstLine="1701"/>
        <w:jc w:val="both"/>
        <w:rPr>
          <w:rFonts w:ascii="Century Gothic" w:hAnsi="Century Gothic" w:cstheme="majorHAnsi"/>
          <w:sz w:val="20"/>
          <w:szCs w:val="20"/>
        </w:rPr>
      </w:pPr>
    </w:p>
    <w:p w14:paraId="66A1C892" w14:textId="3B804677" w:rsidR="00BA6B40" w:rsidRDefault="009E5CB3" w:rsidP="00C9650C">
      <w:pPr>
        <w:spacing w:after="0" w:line="360" w:lineRule="auto"/>
        <w:ind w:firstLine="1701"/>
        <w:jc w:val="both"/>
        <w:rPr>
          <w:rFonts w:ascii="Century Gothic" w:hAnsi="Century Gothic" w:cstheme="majorHAnsi"/>
          <w:color w:val="000000"/>
          <w:sz w:val="20"/>
          <w:szCs w:val="20"/>
        </w:rPr>
      </w:pPr>
      <w:r w:rsidRPr="00D27944">
        <w:rPr>
          <w:rFonts w:ascii="Century Gothic" w:hAnsi="Century Gothic" w:cstheme="majorHAnsi"/>
          <w:sz w:val="20"/>
          <w:szCs w:val="20"/>
        </w:rPr>
        <w:t xml:space="preserve">A </w:t>
      </w:r>
      <w:r w:rsidR="00D40705">
        <w:rPr>
          <w:rFonts w:ascii="Century Gothic" w:hAnsi="Century Gothic" w:cstheme="majorHAnsi"/>
          <w:sz w:val="20"/>
          <w:szCs w:val="20"/>
        </w:rPr>
        <w:t>MP</w:t>
      </w:r>
      <w:r w:rsidRPr="00D27944">
        <w:rPr>
          <w:rFonts w:ascii="Century Gothic" w:hAnsi="Century Gothic" w:cstheme="majorHAnsi"/>
          <w:sz w:val="20"/>
          <w:szCs w:val="20"/>
        </w:rPr>
        <w:t xml:space="preserve"> nº 759</w:t>
      </w:r>
      <w:r w:rsidR="00D40705">
        <w:rPr>
          <w:rFonts w:ascii="Century Gothic" w:hAnsi="Century Gothic" w:cstheme="majorHAnsi"/>
          <w:sz w:val="20"/>
          <w:szCs w:val="20"/>
        </w:rPr>
        <w:t>/2016</w:t>
      </w:r>
      <w:r w:rsidRPr="00D27944">
        <w:rPr>
          <w:rFonts w:ascii="Century Gothic" w:hAnsi="Century Gothic" w:cstheme="majorHAnsi"/>
          <w:sz w:val="20"/>
          <w:szCs w:val="20"/>
        </w:rPr>
        <w:t xml:space="preserve"> </w:t>
      </w:r>
      <w:r w:rsidR="00DB3488" w:rsidRPr="00D27944">
        <w:rPr>
          <w:rFonts w:ascii="Century Gothic" w:hAnsi="Century Gothic" w:cstheme="majorHAnsi"/>
          <w:sz w:val="20"/>
          <w:szCs w:val="20"/>
        </w:rPr>
        <w:t>inicialmente define núcleos urbanos como “</w:t>
      </w:r>
      <w:r w:rsidR="00DB3488" w:rsidRPr="00D27944">
        <w:rPr>
          <w:rFonts w:ascii="Century Gothic" w:hAnsi="Century Gothic" w:cstheme="majorHAnsi"/>
          <w:color w:val="000000"/>
          <w:sz w:val="20"/>
          <w:szCs w:val="20"/>
        </w:rPr>
        <w:t>os adensamentos com usos e características urbanas, ainda que situados</w:t>
      </w:r>
      <w:r w:rsidR="00BA6B40" w:rsidRPr="00D27944">
        <w:rPr>
          <w:rFonts w:ascii="Century Gothic" w:hAnsi="Century Gothic" w:cstheme="majorHAnsi"/>
          <w:color w:val="000000"/>
          <w:sz w:val="20"/>
          <w:szCs w:val="20"/>
        </w:rPr>
        <w:t>: (a)</w:t>
      </w:r>
      <w:r w:rsidR="00DB3488" w:rsidRPr="00D27944">
        <w:rPr>
          <w:rFonts w:ascii="Century Gothic" w:hAnsi="Century Gothic" w:cstheme="majorHAnsi"/>
          <w:color w:val="000000"/>
          <w:sz w:val="20"/>
          <w:szCs w:val="20"/>
        </w:rPr>
        <w:t xml:space="preserve"> em áreas qualificadas como rurais; ou </w:t>
      </w:r>
      <w:r w:rsidR="00BA6B40" w:rsidRPr="00D27944">
        <w:rPr>
          <w:rFonts w:ascii="Century Gothic" w:hAnsi="Century Gothic" w:cstheme="majorHAnsi"/>
          <w:color w:val="000000"/>
          <w:sz w:val="20"/>
          <w:szCs w:val="20"/>
        </w:rPr>
        <w:t xml:space="preserve">(b) </w:t>
      </w:r>
      <w:r w:rsidR="00DB3488" w:rsidRPr="00D27944">
        <w:rPr>
          <w:rFonts w:ascii="Century Gothic" w:hAnsi="Century Gothic" w:cstheme="majorHAnsi"/>
          <w:color w:val="000000"/>
          <w:sz w:val="20"/>
          <w:szCs w:val="20"/>
        </w:rPr>
        <w:t xml:space="preserve">em imóveis destinados predominantemente à moradia de seus ocupantes, sejam eles privados, públicos ou em copropriedade ou comunhão com ente público ou privado” (art. 9º, I). </w:t>
      </w:r>
    </w:p>
    <w:p w14:paraId="4A714275" w14:textId="77777777" w:rsidR="00D414DA" w:rsidRPr="00D27944" w:rsidRDefault="00D414DA" w:rsidP="00C9650C">
      <w:pPr>
        <w:spacing w:after="0" w:line="360" w:lineRule="auto"/>
        <w:ind w:firstLine="1701"/>
        <w:jc w:val="both"/>
        <w:rPr>
          <w:rFonts w:ascii="Century Gothic" w:hAnsi="Century Gothic" w:cstheme="majorHAnsi"/>
          <w:b/>
          <w:sz w:val="20"/>
          <w:szCs w:val="20"/>
        </w:rPr>
      </w:pPr>
    </w:p>
    <w:p w14:paraId="679863DA" w14:textId="7087EE02" w:rsidR="00BA6B40" w:rsidRDefault="00C930B6" w:rsidP="00C9650C">
      <w:pPr>
        <w:spacing w:after="0" w:line="360" w:lineRule="auto"/>
        <w:ind w:firstLine="1701"/>
        <w:jc w:val="both"/>
        <w:rPr>
          <w:rFonts w:ascii="Century Gothic" w:hAnsi="Century Gothic" w:cstheme="majorHAnsi"/>
          <w:color w:val="000000"/>
          <w:sz w:val="20"/>
          <w:szCs w:val="20"/>
        </w:rPr>
      </w:pPr>
      <w:r>
        <w:rPr>
          <w:rFonts w:ascii="Century Gothic" w:hAnsi="Century Gothic" w:cstheme="majorHAnsi"/>
          <w:color w:val="000000"/>
          <w:sz w:val="20"/>
          <w:szCs w:val="20"/>
        </w:rPr>
        <w:t>O objeto da regularização seria</w:t>
      </w:r>
      <w:r w:rsidR="00AF7C26">
        <w:rPr>
          <w:rFonts w:ascii="Century Gothic" w:hAnsi="Century Gothic" w:cstheme="majorHAnsi"/>
          <w:color w:val="000000"/>
          <w:sz w:val="20"/>
          <w:szCs w:val="20"/>
        </w:rPr>
        <w:t>m</w:t>
      </w:r>
      <w:r w:rsidR="00DB3488" w:rsidRPr="00D27944">
        <w:rPr>
          <w:rFonts w:ascii="Century Gothic" w:hAnsi="Century Gothic" w:cstheme="majorHAnsi"/>
          <w:color w:val="000000"/>
          <w:sz w:val="20"/>
          <w:szCs w:val="20"/>
        </w:rPr>
        <w:t xml:space="preserve"> os núcleos urbanos qualificados pela informalidade</w:t>
      </w:r>
      <w:r w:rsidR="00BA6B40" w:rsidRPr="00D27944">
        <w:rPr>
          <w:rFonts w:ascii="Century Gothic" w:hAnsi="Century Gothic" w:cstheme="majorHAnsi"/>
          <w:color w:val="000000"/>
          <w:sz w:val="20"/>
          <w:szCs w:val="20"/>
        </w:rPr>
        <w:t>, abarcando “os clandestinos, irregulares ou aqueles nos quais, atendendo à legislação vigente à época da implantação ou regularização, não foi possível realizar a titulação de seus ocupantes, sob a forma de parcelamentos do solo, de conjuntos habitacionais ou condomínios, horizontais, verticais ou mistos” (art. 9º, II).</w:t>
      </w:r>
    </w:p>
    <w:p w14:paraId="0AF4BA84" w14:textId="77777777" w:rsidR="00D414DA" w:rsidRPr="00D27944" w:rsidRDefault="00D414DA" w:rsidP="00C9650C">
      <w:pPr>
        <w:spacing w:after="0" w:line="360" w:lineRule="auto"/>
        <w:ind w:firstLine="1701"/>
        <w:jc w:val="both"/>
        <w:rPr>
          <w:rFonts w:ascii="Century Gothic" w:hAnsi="Century Gothic" w:cstheme="majorHAnsi"/>
          <w:b/>
          <w:sz w:val="20"/>
          <w:szCs w:val="20"/>
        </w:rPr>
      </w:pPr>
    </w:p>
    <w:p w14:paraId="5C3B81BA" w14:textId="23775F0D" w:rsidR="00BA6B40" w:rsidRDefault="00DD6723" w:rsidP="00C9650C">
      <w:pPr>
        <w:spacing w:after="0" w:line="360" w:lineRule="auto"/>
        <w:ind w:firstLine="1701"/>
        <w:jc w:val="both"/>
        <w:rPr>
          <w:rFonts w:ascii="Century Gothic" w:hAnsi="Century Gothic" w:cstheme="majorHAnsi"/>
          <w:color w:val="000000"/>
          <w:sz w:val="20"/>
          <w:szCs w:val="20"/>
        </w:rPr>
      </w:pPr>
      <w:r w:rsidRPr="00D27944">
        <w:rPr>
          <w:rFonts w:ascii="Century Gothic" w:hAnsi="Century Gothic" w:cstheme="majorHAnsi"/>
          <w:color w:val="000000"/>
          <w:sz w:val="20"/>
          <w:szCs w:val="20"/>
        </w:rPr>
        <w:t>É interessante que a regularização fundiária tenha por objeto toda forma de ocupação informal do solo, mas a</w:t>
      </w:r>
      <w:r w:rsidR="00BA6B40" w:rsidRPr="00D27944">
        <w:rPr>
          <w:rFonts w:ascii="Century Gothic" w:hAnsi="Century Gothic" w:cstheme="majorHAnsi"/>
          <w:color w:val="000000"/>
          <w:sz w:val="20"/>
          <w:szCs w:val="20"/>
        </w:rPr>
        <w:t xml:space="preserve"> definição de núcleo urbano, constante do art. 9º, I</w:t>
      </w:r>
      <w:r w:rsidR="00D40705">
        <w:rPr>
          <w:rFonts w:ascii="Century Gothic" w:hAnsi="Century Gothic" w:cstheme="majorHAnsi"/>
          <w:color w:val="000000"/>
          <w:sz w:val="20"/>
          <w:szCs w:val="20"/>
        </w:rPr>
        <w:t xml:space="preserve">, da MP nº 759/2016 </w:t>
      </w:r>
      <w:r w:rsidR="00BA6B40" w:rsidRPr="00D27944">
        <w:rPr>
          <w:rFonts w:ascii="Century Gothic" w:hAnsi="Century Gothic" w:cstheme="majorHAnsi"/>
          <w:color w:val="000000"/>
          <w:sz w:val="20"/>
          <w:szCs w:val="20"/>
        </w:rPr>
        <w:t>passa</w:t>
      </w:r>
      <w:r w:rsidR="00DB3488" w:rsidRPr="00D27944">
        <w:rPr>
          <w:rFonts w:ascii="Century Gothic" w:hAnsi="Century Gothic" w:cstheme="majorHAnsi"/>
          <w:color w:val="000000"/>
          <w:sz w:val="20"/>
          <w:szCs w:val="20"/>
        </w:rPr>
        <w:t xml:space="preserve"> a ideia de que o objeto principal da regularização seriam os núcleos </w:t>
      </w:r>
      <w:r w:rsidR="00DB3488" w:rsidRPr="00D40705">
        <w:rPr>
          <w:rFonts w:ascii="Century Gothic" w:hAnsi="Century Gothic" w:cstheme="majorHAnsi"/>
          <w:color w:val="000000"/>
          <w:sz w:val="20"/>
          <w:szCs w:val="20"/>
        </w:rPr>
        <w:t>sem</w:t>
      </w:r>
      <w:r w:rsidR="00DB3488" w:rsidRPr="00D27944">
        <w:rPr>
          <w:rFonts w:ascii="Century Gothic" w:hAnsi="Century Gothic" w:cstheme="majorHAnsi"/>
          <w:color w:val="000000"/>
          <w:sz w:val="20"/>
          <w:szCs w:val="20"/>
        </w:rPr>
        <w:t xml:space="preserve"> finalidade de moradia</w:t>
      </w:r>
      <w:r w:rsidR="00BA6B40" w:rsidRPr="00D27944">
        <w:rPr>
          <w:rFonts w:ascii="Century Gothic" w:hAnsi="Century Gothic" w:cstheme="majorHAnsi"/>
          <w:color w:val="000000"/>
          <w:sz w:val="20"/>
          <w:szCs w:val="20"/>
        </w:rPr>
        <w:t>, sobretudo pela utilização do advérbio “ainda”</w:t>
      </w:r>
      <w:r w:rsidR="00DB3488" w:rsidRPr="00D27944">
        <w:rPr>
          <w:rFonts w:ascii="Century Gothic" w:hAnsi="Century Gothic" w:cstheme="majorHAnsi"/>
          <w:color w:val="000000"/>
          <w:sz w:val="20"/>
          <w:szCs w:val="20"/>
        </w:rPr>
        <w:t>.</w:t>
      </w:r>
      <w:r w:rsidR="00BA6B40" w:rsidRPr="00D27944">
        <w:rPr>
          <w:rFonts w:ascii="Century Gothic" w:hAnsi="Century Gothic" w:cstheme="majorHAnsi"/>
          <w:color w:val="000000"/>
          <w:sz w:val="20"/>
          <w:szCs w:val="20"/>
        </w:rPr>
        <w:t xml:space="preserve"> </w:t>
      </w:r>
    </w:p>
    <w:p w14:paraId="7350BD3D" w14:textId="77777777" w:rsidR="00D414DA" w:rsidRPr="00D27944" w:rsidRDefault="00D414DA" w:rsidP="00C9650C">
      <w:pPr>
        <w:spacing w:after="0" w:line="360" w:lineRule="auto"/>
        <w:ind w:firstLine="1701"/>
        <w:jc w:val="both"/>
        <w:rPr>
          <w:rFonts w:ascii="Century Gothic" w:hAnsi="Century Gothic" w:cstheme="majorHAnsi"/>
          <w:b/>
          <w:sz w:val="20"/>
          <w:szCs w:val="20"/>
        </w:rPr>
      </w:pPr>
    </w:p>
    <w:p w14:paraId="26C14933" w14:textId="77777777" w:rsidR="00C930B6" w:rsidRDefault="00BA6B40" w:rsidP="00C9650C">
      <w:pPr>
        <w:spacing w:after="0" w:line="360" w:lineRule="auto"/>
        <w:ind w:firstLine="1701"/>
        <w:jc w:val="both"/>
        <w:rPr>
          <w:rFonts w:ascii="Century Gothic" w:hAnsi="Century Gothic" w:cstheme="majorHAnsi"/>
          <w:sz w:val="20"/>
          <w:szCs w:val="20"/>
        </w:rPr>
      </w:pPr>
      <w:r w:rsidRPr="00D27944">
        <w:rPr>
          <w:rFonts w:ascii="Century Gothic" w:hAnsi="Century Gothic" w:cstheme="majorHAnsi"/>
          <w:sz w:val="20"/>
          <w:szCs w:val="20"/>
        </w:rPr>
        <w:t xml:space="preserve">Há necessidade de se explicitar que a finalidade da ocupação a ser regularizada deve ser, </w:t>
      </w:r>
      <w:r w:rsidRPr="00C930B6">
        <w:rPr>
          <w:rFonts w:ascii="Century Gothic" w:hAnsi="Century Gothic" w:cstheme="majorHAnsi"/>
          <w:sz w:val="20"/>
          <w:szCs w:val="20"/>
          <w:u w:val="single"/>
        </w:rPr>
        <w:t>primordialmente</w:t>
      </w:r>
      <w:r w:rsidRPr="00D27944">
        <w:rPr>
          <w:rFonts w:ascii="Century Gothic" w:hAnsi="Century Gothic" w:cstheme="majorHAnsi"/>
          <w:sz w:val="20"/>
          <w:szCs w:val="20"/>
        </w:rPr>
        <w:t xml:space="preserve">, a moradia. </w:t>
      </w:r>
    </w:p>
    <w:p w14:paraId="26986E5F" w14:textId="77777777" w:rsidR="00D414DA" w:rsidRDefault="00D414DA" w:rsidP="00C9650C">
      <w:pPr>
        <w:spacing w:after="0" w:line="360" w:lineRule="auto"/>
        <w:ind w:firstLine="1701"/>
        <w:jc w:val="both"/>
        <w:rPr>
          <w:rFonts w:ascii="Century Gothic" w:hAnsi="Century Gothic" w:cstheme="majorHAnsi"/>
          <w:sz w:val="20"/>
          <w:szCs w:val="20"/>
        </w:rPr>
      </w:pPr>
    </w:p>
    <w:p w14:paraId="71ECAD1C" w14:textId="04DA36AB" w:rsidR="00BA6B40" w:rsidRPr="00D27944" w:rsidRDefault="00BA6B40" w:rsidP="00C9650C">
      <w:pPr>
        <w:spacing w:after="0" w:line="360" w:lineRule="auto"/>
        <w:ind w:firstLine="1701"/>
        <w:jc w:val="both"/>
        <w:rPr>
          <w:rFonts w:ascii="Century Gothic" w:hAnsi="Century Gothic" w:cstheme="majorHAnsi"/>
          <w:sz w:val="20"/>
          <w:szCs w:val="20"/>
        </w:rPr>
      </w:pPr>
      <w:r w:rsidRPr="00D27944">
        <w:rPr>
          <w:rFonts w:ascii="Century Gothic" w:hAnsi="Century Gothic" w:cstheme="majorHAnsi"/>
          <w:sz w:val="20"/>
          <w:szCs w:val="20"/>
        </w:rPr>
        <w:t xml:space="preserve">Isso não impede, evidentemente, que, no contexto da regularização, seja abarcada a ocupação de espaços para fins comerciais, </w:t>
      </w:r>
      <w:r w:rsidRPr="00C930B6">
        <w:rPr>
          <w:rFonts w:ascii="Century Gothic" w:hAnsi="Century Gothic" w:cstheme="majorHAnsi"/>
          <w:sz w:val="20"/>
          <w:szCs w:val="20"/>
          <w:u w:val="single"/>
        </w:rPr>
        <w:t xml:space="preserve">desde </w:t>
      </w:r>
      <w:r w:rsidRPr="00C930B6">
        <w:rPr>
          <w:rFonts w:ascii="Century Gothic" w:hAnsi="Century Gothic" w:cstheme="majorHAnsi"/>
          <w:sz w:val="20"/>
          <w:szCs w:val="20"/>
          <w:u w:val="single"/>
        </w:rPr>
        <w:lastRenderedPageBreak/>
        <w:t>que se relacione diretamente às funções de moradia daquela população</w:t>
      </w:r>
      <w:r w:rsidRPr="00D27944">
        <w:rPr>
          <w:rFonts w:ascii="Century Gothic" w:hAnsi="Century Gothic" w:cstheme="majorHAnsi"/>
          <w:sz w:val="20"/>
          <w:szCs w:val="20"/>
        </w:rPr>
        <w:t xml:space="preserve">. Evita-se, com isso, o desvirtuamento do instituto para a regularização de comércios que, do ponto de vista social, não mereceriam, para fins de investimentos de recursos públicos, mobilização institucional. </w:t>
      </w:r>
      <w:r w:rsidR="00C930B6">
        <w:rPr>
          <w:rFonts w:ascii="Century Gothic" w:hAnsi="Century Gothic" w:cstheme="majorHAnsi"/>
          <w:sz w:val="20"/>
          <w:szCs w:val="20"/>
        </w:rPr>
        <w:t>Essa ideia, contida de certa forma no art. 11, §4º, da MP nº 759/2016</w:t>
      </w:r>
      <w:r w:rsidR="00C930B6">
        <w:rPr>
          <w:rStyle w:val="Refdenotaderodap"/>
          <w:rFonts w:ascii="Century Gothic" w:hAnsi="Century Gothic" w:cstheme="majorHAnsi"/>
          <w:sz w:val="20"/>
          <w:szCs w:val="20"/>
        </w:rPr>
        <w:footnoteReference w:id="4"/>
      </w:r>
      <w:r w:rsidR="00C930B6">
        <w:rPr>
          <w:rFonts w:ascii="Century Gothic" w:hAnsi="Century Gothic" w:cstheme="majorHAnsi"/>
          <w:sz w:val="20"/>
          <w:szCs w:val="20"/>
        </w:rPr>
        <w:t>, necessita ser melhor explicitada na própria definição do núcleo urbano informal.</w:t>
      </w:r>
    </w:p>
    <w:p w14:paraId="3E507F43" w14:textId="77777777" w:rsidR="00BA6B40" w:rsidRPr="00D27944" w:rsidRDefault="00BA6B40" w:rsidP="008A2EC0">
      <w:pPr>
        <w:spacing w:after="0" w:line="360" w:lineRule="auto"/>
        <w:jc w:val="both"/>
        <w:rPr>
          <w:rFonts w:ascii="Century Gothic" w:hAnsi="Century Gothic" w:cstheme="majorHAnsi"/>
          <w:color w:val="000000"/>
          <w:sz w:val="20"/>
          <w:szCs w:val="20"/>
        </w:rPr>
      </w:pPr>
    </w:p>
    <w:p w14:paraId="312F00F6" w14:textId="03C3D97B" w:rsidR="00BA6B40" w:rsidRPr="00226A81" w:rsidRDefault="00DD6723" w:rsidP="00226A81">
      <w:pPr>
        <w:pStyle w:val="PargrafodaLista"/>
        <w:numPr>
          <w:ilvl w:val="0"/>
          <w:numId w:val="2"/>
        </w:numPr>
        <w:spacing w:after="0" w:line="360" w:lineRule="auto"/>
        <w:jc w:val="both"/>
        <w:rPr>
          <w:rFonts w:ascii="Century Gothic" w:hAnsi="Century Gothic" w:cstheme="majorHAnsi"/>
          <w:b/>
          <w:sz w:val="20"/>
          <w:szCs w:val="20"/>
        </w:rPr>
      </w:pPr>
      <w:r w:rsidRPr="00226A81">
        <w:rPr>
          <w:rFonts w:ascii="Century Gothic" w:hAnsi="Century Gothic" w:cstheme="majorHAnsi"/>
          <w:b/>
          <w:sz w:val="20"/>
          <w:szCs w:val="20"/>
        </w:rPr>
        <w:t>DA REGULARIZAÇÃO FUNDIÁRIA EM ÁREAS QUALIFICADAS COMO RURAIS</w:t>
      </w:r>
    </w:p>
    <w:p w14:paraId="5EEA43BF" w14:textId="77777777" w:rsidR="00384783" w:rsidRDefault="00384783" w:rsidP="00C9650C">
      <w:pPr>
        <w:spacing w:after="0" w:line="360" w:lineRule="auto"/>
        <w:ind w:firstLine="1701"/>
        <w:jc w:val="both"/>
        <w:rPr>
          <w:rFonts w:ascii="Century Gothic" w:hAnsi="Century Gothic" w:cs="Arial"/>
          <w:sz w:val="20"/>
          <w:szCs w:val="20"/>
        </w:rPr>
      </w:pPr>
    </w:p>
    <w:p w14:paraId="7344AC1D" w14:textId="2275F798" w:rsidR="00DD6723" w:rsidRDefault="00DD6723" w:rsidP="00C9650C">
      <w:pPr>
        <w:spacing w:after="0" w:line="360" w:lineRule="auto"/>
        <w:ind w:firstLine="1701"/>
        <w:jc w:val="both"/>
        <w:rPr>
          <w:rFonts w:ascii="Century Gothic" w:hAnsi="Century Gothic" w:cs="Arial"/>
          <w:sz w:val="20"/>
          <w:szCs w:val="20"/>
        </w:rPr>
      </w:pPr>
      <w:r w:rsidRPr="00D27944">
        <w:rPr>
          <w:rFonts w:ascii="Century Gothic" w:hAnsi="Century Gothic" w:cs="Arial"/>
          <w:sz w:val="20"/>
          <w:szCs w:val="20"/>
        </w:rPr>
        <w:t xml:space="preserve">A </w:t>
      </w:r>
      <w:r w:rsidR="00D40705">
        <w:rPr>
          <w:rFonts w:ascii="Century Gothic" w:hAnsi="Century Gothic" w:cs="Arial"/>
          <w:sz w:val="20"/>
          <w:szCs w:val="20"/>
        </w:rPr>
        <w:t>MP</w:t>
      </w:r>
      <w:r w:rsidRPr="00D27944">
        <w:rPr>
          <w:rFonts w:ascii="Century Gothic" w:hAnsi="Century Gothic" w:cs="Arial"/>
          <w:sz w:val="20"/>
          <w:szCs w:val="20"/>
        </w:rPr>
        <w:t xml:space="preserve"> nº 759</w:t>
      </w:r>
      <w:r w:rsidR="00D40705">
        <w:rPr>
          <w:rFonts w:ascii="Century Gothic" w:hAnsi="Century Gothic" w:cs="Arial"/>
          <w:sz w:val="20"/>
          <w:szCs w:val="20"/>
        </w:rPr>
        <w:t>/2016</w:t>
      </w:r>
      <w:r w:rsidRPr="00D27944">
        <w:rPr>
          <w:rFonts w:ascii="Century Gothic" w:hAnsi="Century Gothic" w:cs="Arial"/>
          <w:sz w:val="20"/>
          <w:szCs w:val="20"/>
        </w:rPr>
        <w:t xml:space="preserve"> adotou a noção de área urbana conforme sua finalidade, pouco importando se, formalmente, o assentamento objeto da regularização fundiária esteja localizado na área rural. Assim, a regularização fundiária se aplica ao solo que atende a uma finalidade urbana, como expressamente consta da definição legal de núcleos urbanos: </w:t>
      </w:r>
      <w:r w:rsidRPr="00D40705">
        <w:rPr>
          <w:rFonts w:ascii="Century Gothic" w:hAnsi="Century Gothic" w:cs="Arial"/>
          <w:sz w:val="20"/>
          <w:szCs w:val="20"/>
        </w:rPr>
        <w:t>“os adensamentos com usos e características urbanas, ainda que situados em áreas qualificadas como rurais”</w:t>
      </w:r>
      <w:r w:rsidRPr="00D27944">
        <w:rPr>
          <w:rFonts w:ascii="Century Gothic" w:hAnsi="Century Gothic" w:cs="Arial"/>
          <w:sz w:val="20"/>
          <w:szCs w:val="20"/>
        </w:rPr>
        <w:t xml:space="preserve"> (art. 9º, I, </w:t>
      </w:r>
      <w:r w:rsidRPr="00D27944">
        <w:rPr>
          <w:rFonts w:ascii="Century Gothic" w:hAnsi="Century Gothic" w:cs="Arial"/>
          <w:i/>
          <w:sz w:val="20"/>
          <w:szCs w:val="20"/>
        </w:rPr>
        <w:t>a</w:t>
      </w:r>
      <w:r w:rsidRPr="00D27944">
        <w:rPr>
          <w:rFonts w:ascii="Century Gothic" w:hAnsi="Century Gothic" w:cs="Arial"/>
          <w:sz w:val="20"/>
          <w:szCs w:val="20"/>
        </w:rPr>
        <w:t xml:space="preserve">). Isso é compreendido na medida em que a ocupação do solo rural precipuamente para moradia desnatura seu propósito (que é de desenvolvimento de atividade agrícola). Observe-se, contudo, que a unidade imobiliária deve ter dimensão inferior ao módulo rural (art. 9º, §2º) – situação que torna irregular o fracionamento do solo para fins rurais, nos termos do disposto no art. 65 do Estatuto da Terra, indicando, uma vez mais, a desnaturação do uso do solo rural para finalidade urbana.  </w:t>
      </w:r>
    </w:p>
    <w:p w14:paraId="20440B89" w14:textId="77777777" w:rsidR="00D414DA" w:rsidRPr="00D27944" w:rsidRDefault="00D414DA" w:rsidP="00C9650C">
      <w:pPr>
        <w:spacing w:after="0" w:line="360" w:lineRule="auto"/>
        <w:ind w:firstLine="1701"/>
        <w:jc w:val="both"/>
        <w:rPr>
          <w:rFonts w:ascii="Century Gothic" w:hAnsi="Century Gothic" w:cs="Arial"/>
          <w:sz w:val="20"/>
          <w:szCs w:val="20"/>
        </w:rPr>
      </w:pPr>
    </w:p>
    <w:p w14:paraId="2C8BD111" w14:textId="5EE3FAF5" w:rsidR="00DD6723" w:rsidRDefault="00DD6723" w:rsidP="00C9650C">
      <w:pPr>
        <w:spacing w:after="0" w:line="360" w:lineRule="auto"/>
        <w:ind w:firstLine="1701"/>
        <w:jc w:val="both"/>
        <w:rPr>
          <w:rFonts w:ascii="Century Gothic" w:hAnsi="Century Gothic" w:cs="Arial"/>
          <w:sz w:val="20"/>
          <w:szCs w:val="20"/>
        </w:rPr>
      </w:pPr>
      <w:r w:rsidRPr="00D27944">
        <w:rPr>
          <w:rFonts w:ascii="Century Gothic" w:hAnsi="Century Gothic" w:cs="Arial"/>
          <w:sz w:val="20"/>
          <w:szCs w:val="20"/>
        </w:rPr>
        <w:t xml:space="preserve">Pela sistemática anterior, exigia-se que o assentamento informal constasse do perímetro urbano, </w:t>
      </w:r>
      <w:r w:rsidRPr="00C930B6">
        <w:rPr>
          <w:rFonts w:ascii="Century Gothic" w:hAnsi="Century Gothic" w:cs="Arial"/>
          <w:sz w:val="20"/>
          <w:szCs w:val="20"/>
          <w:u w:val="single"/>
        </w:rPr>
        <w:t>segundo definido em lei municipal</w:t>
      </w:r>
      <w:r w:rsidR="00D40705">
        <w:rPr>
          <w:rStyle w:val="Refdenotaderodap"/>
          <w:rFonts w:ascii="Century Gothic" w:hAnsi="Century Gothic" w:cs="Arial"/>
          <w:sz w:val="20"/>
          <w:szCs w:val="20"/>
        </w:rPr>
        <w:footnoteReference w:id="5"/>
      </w:r>
      <w:r w:rsidRPr="00D27944">
        <w:rPr>
          <w:rFonts w:ascii="Century Gothic" w:hAnsi="Century Gothic" w:cs="Arial"/>
          <w:sz w:val="20"/>
          <w:szCs w:val="20"/>
        </w:rPr>
        <w:t>. Se havia dificuldades práticas para a modificação da legislação urbanística nesse ponto – sobretudo ante a exigência constante do art. 42-B do Estatuto da Cidade</w:t>
      </w:r>
      <w:r w:rsidRPr="00D27944">
        <w:rPr>
          <w:rStyle w:val="Refdenotaderodap"/>
          <w:rFonts w:ascii="Century Gothic" w:hAnsi="Century Gothic" w:cs="Arial"/>
          <w:sz w:val="20"/>
          <w:szCs w:val="20"/>
        </w:rPr>
        <w:footnoteReference w:id="6"/>
      </w:r>
      <w:r w:rsidRPr="00D27944">
        <w:rPr>
          <w:rFonts w:ascii="Century Gothic" w:hAnsi="Century Gothic" w:cs="Arial"/>
          <w:sz w:val="20"/>
          <w:szCs w:val="20"/>
        </w:rPr>
        <w:t xml:space="preserve"> –, a medida era importante porque ressaltava que a regularização fundiária não pode</w:t>
      </w:r>
      <w:r w:rsidR="00697CF0">
        <w:rPr>
          <w:rFonts w:ascii="Century Gothic" w:hAnsi="Century Gothic" w:cs="Arial"/>
          <w:sz w:val="20"/>
          <w:szCs w:val="20"/>
        </w:rPr>
        <w:t>ria</w:t>
      </w:r>
      <w:r w:rsidRPr="00D27944">
        <w:rPr>
          <w:rFonts w:ascii="Century Gothic" w:hAnsi="Century Gothic" w:cs="Arial"/>
          <w:sz w:val="20"/>
          <w:szCs w:val="20"/>
        </w:rPr>
        <w:t xml:space="preserve"> ser concebida de maneira dissociada do </w:t>
      </w:r>
      <w:r w:rsidRPr="00C930B6">
        <w:rPr>
          <w:rFonts w:ascii="Century Gothic" w:hAnsi="Century Gothic" w:cs="Arial"/>
          <w:sz w:val="20"/>
          <w:szCs w:val="20"/>
          <w:u w:val="single"/>
        </w:rPr>
        <w:t>planejamento urbano</w:t>
      </w:r>
      <w:r w:rsidRPr="00D27944">
        <w:rPr>
          <w:rFonts w:ascii="Century Gothic" w:hAnsi="Century Gothic" w:cs="Arial"/>
          <w:sz w:val="20"/>
          <w:szCs w:val="20"/>
        </w:rPr>
        <w:t xml:space="preserve"> como um todo.</w:t>
      </w:r>
      <w:r w:rsidRPr="00D27944">
        <w:rPr>
          <w:rStyle w:val="Refdenotaderodap"/>
          <w:rFonts w:ascii="Century Gothic" w:hAnsi="Century Gothic" w:cs="Arial"/>
          <w:sz w:val="20"/>
          <w:szCs w:val="20"/>
        </w:rPr>
        <w:footnoteReference w:id="7"/>
      </w:r>
    </w:p>
    <w:p w14:paraId="7E3A5909" w14:textId="77777777" w:rsidR="00D414DA" w:rsidRPr="00D27944" w:rsidRDefault="00D414DA" w:rsidP="00C9650C">
      <w:pPr>
        <w:spacing w:after="0" w:line="360" w:lineRule="auto"/>
        <w:ind w:firstLine="1701"/>
        <w:jc w:val="both"/>
        <w:rPr>
          <w:rFonts w:ascii="Century Gothic" w:hAnsi="Century Gothic" w:cs="Arial"/>
          <w:sz w:val="20"/>
          <w:szCs w:val="20"/>
        </w:rPr>
      </w:pPr>
    </w:p>
    <w:p w14:paraId="0AE04ED3" w14:textId="2DD1204C" w:rsidR="008A2EC0" w:rsidRDefault="00DD6723" w:rsidP="00C9650C">
      <w:pPr>
        <w:spacing w:after="0" w:line="360" w:lineRule="auto"/>
        <w:ind w:firstLine="1701"/>
        <w:jc w:val="both"/>
        <w:rPr>
          <w:rFonts w:ascii="Century Gothic" w:hAnsi="Century Gothic" w:cs="Arial"/>
          <w:sz w:val="20"/>
          <w:szCs w:val="20"/>
        </w:rPr>
      </w:pPr>
      <w:r w:rsidRPr="00D27944">
        <w:rPr>
          <w:rFonts w:ascii="Century Gothic" w:hAnsi="Century Gothic" w:cs="Arial"/>
          <w:sz w:val="20"/>
          <w:szCs w:val="20"/>
        </w:rPr>
        <w:t xml:space="preserve">Assim, a regularização indiscriminada de núcleos com características urbanas situados em áreas formalmente rurais pode levar a um </w:t>
      </w:r>
      <w:r w:rsidRPr="00E678C5">
        <w:rPr>
          <w:rFonts w:ascii="Century Gothic" w:hAnsi="Century Gothic" w:cs="Arial"/>
          <w:sz w:val="20"/>
          <w:szCs w:val="20"/>
          <w:u w:val="single"/>
        </w:rPr>
        <w:t>crescimento desordenado</w:t>
      </w:r>
      <w:r w:rsidR="00E678C5">
        <w:rPr>
          <w:rFonts w:ascii="Century Gothic" w:hAnsi="Century Gothic" w:cs="Arial"/>
          <w:sz w:val="20"/>
          <w:szCs w:val="20"/>
        </w:rPr>
        <w:t xml:space="preserve"> d</w:t>
      </w:r>
      <w:r w:rsidRPr="00D27944">
        <w:rPr>
          <w:rFonts w:ascii="Century Gothic" w:hAnsi="Century Gothic" w:cs="Arial"/>
          <w:sz w:val="20"/>
          <w:szCs w:val="20"/>
        </w:rPr>
        <w:t xml:space="preserve">a cidade. Não é possível afirmar, </w:t>
      </w:r>
      <w:r w:rsidRPr="00E678C5">
        <w:rPr>
          <w:rFonts w:ascii="Century Gothic" w:hAnsi="Century Gothic" w:cs="Arial"/>
          <w:sz w:val="20"/>
          <w:szCs w:val="20"/>
          <w:u w:val="single"/>
        </w:rPr>
        <w:t>abstratamente</w:t>
      </w:r>
      <w:r w:rsidRPr="00D27944">
        <w:rPr>
          <w:rFonts w:ascii="Century Gothic" w:hAnsi="Century Gothic" w:cs="Arial"/>
          <w:sz w:val="20"/>
          <w:szCs w:val="20"/>
        </w:rPr>
        <w:t xml:space="preserve">, que </w:t>
      </w:r>
      <w:r w:rsidR="00E678C5">
        <w:rPr>
          <w:rFonts w:ascii="Century Gothic" w:hAnsi="Century Gothic" w:cs="Arial"/>
          <w:sz w:val="20"/>
          <w:szCs w:val="20"/>
        </w:rPr>
        <w:t>toda ocupação em área rural deve</w:t>
      </w:r>
      <w:r w:rsidRPr="00D27944">
        <w:rPr>
          <w:rFonts w:ascii="Century Gothic" w:hAnsi="Century Gothic" w:cs="Arial"/>
          <w:sz w:val="20"/>
          <w:szCs w:val="20"/>
        </w:rPr>
        <w:t xml:space="preserve"> ser regularizada, pois há uma série de condicionantes que precisam ser analisadas para se concluir pela viabilidade da regularização. Deve-se lembrar que a divisão entre “área urbana” e “área rural” não atende simplesmente a uma formalidade, pois tais espaços cumprem finalidades bem diversas. As áreas rurais precisam ser preservadas, seja em razão dos atributos de </w:t>
      </w:r>
      <w:r w:rsidRPr="00E678C5">
        <w:rPr>
          <w:rFonts w:ascii="Century Gothic" w:hAnsi="Century Gothic" w:cs="Arial"/>
          <w:sz w:val="20"/>
          <w:szCs w:val="20"/>
          <w:u w:val="single"/>
        </w:rPr>
        <w:t>biodiversidade</w:t>
      </w:r>
      <w:r w:rsidRPr="00D27944">
        <w:rPr>
          <w:rFonts w:ascii="Century Gothic" w:hAnsi="Century Gothic" w:cs="Arial"/>
          <w:sz w:val="20"/>
          <w:szCs w:val="20"/>
        </w:rPr>
        <w:t xml:space="preserve">, seja por questões </w:t>
      </w:r>
      <w:r w:rsidRPr="00E678C5">
        <w:rPr>
          <w:rFonts w:ascii="Century Gothic" w:hAnsi="Century Gothic" w:cs="Arial"/>
          <w:sz w:val="20"/>
          <w:szCs w:val="20"/>
          <w:u w:val="single"/>
        </w:rPr>
        <w:t>econômicas</w:t>
      </w:r>
      <w:r w:rsidRPr="00D27944">
        <w:rPr>
          <w:rFonts w:ascii="Century Gothic" w:hAnsi="Century Gothic" w:cs="Arial"/>
          <w:sz w:val="20"/>
          <w:szCs w:val="20"/>
        </w:rPr>
        <w:t xml:space="preserve"> (a depender da vocação agropastoril da locali</w:t>
      </w:r>
      <w:r w:rsidR="00697CF0">
        <w:rPr>
          <w:rFonts w:ascii="Century Gothic" w:hAnsi="Century Gothic" w:cs="Arial"/>
          <w:sz w:val="20"/>
          <w:szCs w:val="20"/>
        </w:rPr>
        <w:t>dade), seja mesmo por constituírem</w:t>
      </w:r>
      <w:r w:rsidRPr="00D27944">
        <w:rPr>
          <w:rFonts w:ascii="Century Gothic" w:hAnsi="Century Gothic" w:cs="Arial"/>
          <w:sz w:val="20"/>
          <w:szCs w:val="20"/>
        </w:rPr>
        <w:t xml:space="preserve"> um </w:t>
      </w:r>
      <w:r w:rsidRPr="00E678C5">
        <w:rPr>
          <w:rFonts w:ascii="Century Gothic" w:hAnsi="Century Gothic" w:cs="Arial"/>
          <w:sz w:val="20"/>
          <w:szCs w:val="20"/>
          <w:u w:val="single"/>
        </w:rPr>
        <w:t>estoque de terras</w:t>
      </w:r>
      <w:r w:rsidRPr="00D27944">
        <w:rPr>
          <w:rFonts w:ascii="Century Gothic" w:hAnsi="Century Gothic" w:cs="Arial"/>
          <w:sz w:val="20"/>
          <w:szCs w:val="20"/>
        </w:rPr>
        <w:t xml:space="preserve"> para a futura expansão da cidade. Por conseguinte, caso se permita indiscriminadamente a consolidação de ocupações em área rural, haverá um significativo </w:t>
      </w:r>
      <w:r w:rsidRPr="00E678C5">
        <w:rPr>
          <w:rFonts w:ascii="Century Gothic" w:hAnsi="Century Gothic" w:cs="Arial"/>
          <w:sz w:val="20"/>
          <w:szCs w:val="20"/>
          <w:u w:val="single"/>
        </w:rPr>
        <w:t>fator de pressão</w:t>
      </w:r>
      <w:r w:rsidRPr="00D27944">
        <w:rPr>
          <w:rFonts w:ascii="Century Gothic" w:hAnsi="Century Gothic" w:cs="Arial"/>
          <w:sz w:val="20"/>
          <w:szCs w:val="20"/>
        </w:rPr>
        <w:t xml:space="preserve"> para que novas ocupações ali se instalem ou para que a cidade mais rapidamente se horizontalize, diminuindo cada vez mais o espaço rural. Discute-se já há algum tempo </w:t>
      </w:r>
      <w:r w:rsidR="00697CF0">
        <w:rPr>
          <w:rFonts w:ascii="Century Gothic" w:hAnsi="Century Gothic" w:cs="Arial"/>
          <w:sz w:val="20"/>
          <w:szCs w:val="20"/>
        </w:rPr>
        <w:t xml:space="preserve">entre os urbanistas </w:t>
      </w:r>
      <w:r w:rsidRPr="00D27944">
        <w:rPr>
          <w:rFonts w:ascii="Century Gothic" w:hAnsi="Century Gothic" w:cs="Arial"/>
          <w:sz w:val="20"/>
          <w:szCs w:val="20"/>
        </w:rPr>
        <w:t xml:space="preserve">se o espraiamento das cidades é a melhor solução, na medida em que levar infraestrutura urbana a localidades mais distantes do centro pode ser extremamente custoso e até mesmo inviável, além de dificultar a fiscalização municipal sobre o uso e a ocupação do solo – algo que já não ocorre a contento nem mesmo no centro expandido das cidades. </w:t>
      </w:r>
    </w:p>
    <w:p w14:paraId="0A45AB81" w14:textId="77777777" w:rsidR="00D414DA" w:rsidRPr="00D27944" w:rsidRDefault="00D414DA" w:rsidP="00C9650C">
      <w:pPr>
        <w:spacing w:after="0" w:line="360" w:lineRule="auto"/>
        <w:ind w:firstLine="1701"/>
        <w:jc w:val="both"/>
        <w:rPr>
          <w:rFonts w:ascii="Century Gothic" w:hAnsi="Century Gothic" w:cs="Arial"/>
          <w:sz w:val="20"/>
          <w:szCs w:val="20"/>
        </w:rPr>
      </w:pPr>
    </w:p>
    <w:p w14:paraId="5A3C995E" w14:textId="038B463F" w:rsidR="00DD6723" w:rsidRPr="00D27944" w:rsidRDefault="008A2EC0" w:rsidP="00C9650C">
      <w:pPr>
        <w:spacing w:after="0" w:line="360" w:lineRule="auto"/>
        <w:ind w:firstLine="1701"/>
        <w:jc w:val="both"/>
        <w:rPr>
          <w:rFonts w:ascii="Century Gothic" w:hAnsi="Century Gothic" w:cs="Arial"/>
          <w:sz w:val="20"/>
          <w:szCs w:val="20"/>
        </w:rPr>
      </w:pPr>
      <w:r w:rsidRPr="00D27944">
        <w:rPr>
          <w:rFonts w:ascii="Century Gothic" w:hAnsi="Century Gothic" w:cs="Arial"/>
          <w:sz w:val="20"/>
          <w:szCs w:val="20"/>
        </w:rPr>
        <w:t xml:space="preserve">Portanto, ainda que se abandone a sistemática da Lei nº 11.977/09 em se exigir a integração formal </w:t>
      </w:r>
      <w:r w:rsidR="00E678C5">
        <w:rPr>
          <w:rFonts w:ascii="Century Gothic" w:hAnsi="Century Gothic" w:cs="Arial"/>
          <w:sz w:val="20"/>
          <w:szCs w:val="20"/>
        </w:rPr>
        <w:t xml:space="preserve">(por meio de lei) </w:t>
      </w:r>
      <w:r w:rsidRPr="00D27944">
        <w:rPr>
          <w:rFonts w:ascii="Century Gothic" w:hAnsi="Century Gothic" w:cs="Arial"/>
          <w:sz w:val="20"/>
          <w:szCs w:val="20"/>
        </w:rPr>
        <w:t xml:space="preserve">da área a ser regularizada na área rural ao perímetro urbano, é preciso prever a necessidade de que a regularização dessas ocupações esteja amparada em </w:t>
      </w:r>
      <w:r w:rsidRPr="00E678C5">
        <w:rPr>
          <w:rFonts w:ascii="Century Gothic" w:hAnsi="Century Gothic" w:cs="Arial"/>
          <w:sz w:val="20"/>
          <w:szCs w:val="20"/>
          <w:u w:val="single"/>
        </w:rPr>
        <w:t>estudos técnicos</w:t>
      </w:r>
      <w:r w:rsidRPr="00D27944">
        <w:rPr>
          <w:rFonts w:ascii="Century Gothic" w:hAnsi="Century Gothic" w:cs="Arial"/>
          <w:sz w:val="20"/>
          <w:szCs w:val="20"/>
        </w:rPr>
        <w:t xml:space="preserve"> que apontem para, dentre outros fatores, a viabilidade de se levar infraestrutura e serviços públicos, a existência de rede de transportes públicos e a preservação ambiental, na esteira do disposto no art. 42-B do Estatuto da Cidade. </w:t>
      </w:r>
    </w:p>
    <w:p w14:paraId="61D48523" w14:textId="77777777" w:rsidR="008A2EC0" w:rsidRPr="00D27944" w:rsidRDefault="008A2EC0" w:rsidP="008A2EC0">
      <w:pPr>
        <w:spacing w:after="0" w:line="360" w:lineRule="auto"/>
        <w:jc w:val="both"/>
        <w:rPr>
          <w:rFonts w:ascii="Century Gothic" w:hAnsi="Century Gothic" w:cs="Arial"/>
          <w:sz w:val="20"/>
          <w:szCs w:val="20"/>
        </w:rPr>
      </w:pPr>
    </w:p>
    <w:p w14:paraId="31046F53" w14:textId="08DD5D63" w:rsidR="008A2EC0" w:rsidRPr="00226A81" w:rsidRDefault="008A2EC0" w:rsidP="00226A81">
      <w:pPr>
        <w:pStyle w:val="PargrafodaLista"/>
        <w:numPr>
          <w:ilvl w:val="0"/>
          <w:numId w:val="2"/>
        </w:numPr>
        <w:spacing w:after="0" w:line="360" w:lineRule="auto"/>
        <w:jc w:val="both"/>
        <w:rPr>
          <w:rFonts w:ascii="Century Gothic" w:hAnsi="Century Gothic" w:cs="Arial"/>
          <w:b/>
          <w:sz w:val="20"/>
          <w:szCs w:val="20"/>
        </w:rPr>
      </w:pPr>
      <w:r w:rsidRPr="00226A81">
        <w:rPr>
          <w:rFonts w:ascii="Century Gothic" w:hAnsi="Century Gothic" w:cs="Arial"/>
          <w:b/>
          <w:sz w:val="20"/>
          <w:szCs w:val="20"/>
        </w:rPr>
        <w:t>DA DISTINÇÃO ENTRE REGULARIZAÇÃO FUNDIÁRIA DE INTERESSE SOCIAL E REGULARIZAÇÃO FUNDIÁRIA DE INTERESSE ESPECÍFICO</w:t>
      </w:r>
    </w:p>
    <w:p w14:paraId="0514C3E3" w14:textId="77777777" w:rsidR="00384783" w:rsidRDefault="00384783" w:rsidP="00C9650C">
      <w:pPr>
        <w:spacing w:after="0" w:line="360" w:lineRule="auto"/>
        <w:ind w:firstLine="1701"/>
        <w:jc w:val="both"/>
        <w:rPr>
          <w:rFonts w:ascii="Century Gothic" w:hAnsi="Century Gothic" w:cs="Arial"/>
          <w:sz w:val="20"/>
          <w:szCs w:val="20"/>
        </w:rPr>
      </w:pPr>
    </w:p>
    <w:p w14:paraId="122F944E" w14:textId="08908E03" w:rsidR="008A2EC0" w:rsidRDefault="008A2EC0" w:rsidP="00C9650C">
      <w:pPr>
        <w:spacing w:after="0" w:line="360" w:lineRule="auto"/>
        <w:ind w:firstLine="1701"/>
        <w:jc w:val="both"/>
        <w:rPr>
          <w:rFonts w:ascii="Century Gothic" w:hAnsi="Century Gothic" w:cs="Arial"/>
          <w:sz w:val="20"/>
          <w:szCs w:val="20"/>
        </w:rPr>
      </w:pPr>
      <w:r w:rsidRPr="00D27944">
        <w:rPr>
          <w:rFonts w:ascii="Century Gothic" w:hAnsi="Century Gothic" w:cs="Arial"/>
          <w:sz w:val="20"/>
          <w:szCs w:val="20"/>
        </w:rPr>
        <w:t xml:space="preserve">A </w:t>
      </w:r>
      <w:r w:rsidR="00697CF0">
        <w:rPr>
          <w:rFonts w:ascii="Century Gothic" w:hAnsi="Century Gothic" w:cs="Arial"/>
          <w:sz w:val="20"/>
          <w:szCs w:val="20"/>
        </w:rPr>
        <w:t>MP</w:t>
      </w:r>
      <w:r w:rsidRPr="00D27944">
        <w:rPr>
          <w:rFonts w:ascii="Century Gothic" w:hAnsi="Century Gothic" w:cs="Arial"/>
          <w:sz w:val="20"/>
          <w:szCs w:val="20"/>
        </w:rPr>
        <w:t xml:space="preserve"> nº 759</w:t>
      </w:r>
      <w:r w:rsidR="00697CF0">
        <w:rPr>
          <w:rFonts w:ascii="Century Gothic" w:hAnsi="Century Gothic" w:cs="Arial"/>
          <w:sz w:val="20"/>
          <w:szCs w:val="20"/>
        </w:rPr>
        <w:t>/2016</w:t>
      </w:r>
      <w:r w:rsidRPr="00D27944">
        <w:rPr>
          <w:rFonts w:ascii="Century Gothic" w:hAnsi="Century Gothic" w:cs="Arial"/>
          <w:sz w:val="20"/>
          <w:szCs w:val="20"/>
        </w:rPr>
        <w:t xml:space="preserve"> aproximou sensivelmente as duas modalidades, ao contrário do que ocorria na Lei nº 11.977/09</w:t>
      </w:r>
      <w:r w:rsidR="003F4DC4" w:rsidRPr="00D27944">
        <w:rPr>
          <w:rFonts w:ascii="Century Gothic" w:hAnsi="Century Gothic" w:cs="Arial"/>
          <w:sz w:val="20"/>
          <w:szCs w:val="20"/>
        </w:rPr>
        <w:t xml:space="preserve"> – ainda que tenha mantido a </w:t>
      </w:r>
      <w:r w:rsidR="003F4DC4" w:rsidRPr="00D27944">
        <w:rPr>
          <w:rFonts w:ascii="Century Gothic" w:hAnsi="Century Gothic" w:cs="Arial"/>
          <w:sz w:val="20"/>
          <w:szCs w:val="20"/>
        </w:rPr>
        <w:lastRenderedPageBreak/>
        <w:t>distinção básica entre elas: a regularização de interesse social se dirige aos núcleos ocupados por população de baixa renda e a regularização de interesse específico se aplica aos demais casos (art. 11, I e II)</w:t>
      </w:r>
      <w:r w:rsidRPr="00D27944">
        <w:rPr>
          <w:rFonts w:ascii="Century Gothic" w:hAnsi="Century Gothic" w:cs="Arial"/>
          <w:sz w:val="20"/>
          <w:szCs w:val="20"/>
        </w:rPr>
        <w:t>.</w:t>
      </w:r>
      <w:r w:rsidR="00697CF0">
        <w:rPr>
          <w:rStyle w:val="Refdenotaderodap"/>
          <w:rFonts w:ascii="Century Gothic" w:hAnsi="Century Gothic" w:cs="Arial"/>
          <w:sz w:val="20"/>
          <w:szCs w:val="20"/>
        </w:rPr>
        <w:footnoteReference w:id="8"/>
      </w:r>
    </w:p>
    <w:p w14:paraId="75BFE471" w14:textId="77777777" w:rsidR="00D414DA" w:rsidRPr="00D27944" w:rsidRDefault="00D414DA" w:rsidP="00C9650C">
      <w:pPr>
        <w:spacing w:after="0" w:line="360" w:lineRule="auto"/>
        <w:ind w:firstLine="1701"/>
        <w:jc w:val="both"/>
        <w:rPr>
          <w:rFonts w:ascii="Century Gothic" w:hAnsi="Century Gothic" w:cs="Arial"/>
          <w:sz w:val="20"/>
          <w:szCs w:val="20"/>
        </w:rPr>
      </w:pPr>
    </w:p>
    <w:p w14:paraId="46591CF2" w14:textId="20052D77" w:rsidR="008A2EC0" w:rsidRDefault="008A2EC0" w:rsidP="00C9650C">
      <w:pPr>
        <w:spacing w:after="0" w:line="360" w:lineRule="auto"/>
        <w:ind w:firstLine="1701"/>
        <w:jc w:val="both"/>
        <w:rPr>
          <w:rFonts w:ascii="Century Gothic" w:hAnsi="Century Gothic"/>
          <w:sz w:val="20"/>
          <w:szCs w:val="20"/>
        </w:rPr>
      </w:pPr>
      <w:r w:rsidRPr="00D27944">
        <w:rPr>
          <w:rFonts w:ascii="Century Gothic" w:hAnsi="Century Gothic" w:cs="Arial"/>
          <w:sz w:val="20"/>
          <w:szCs w:val="20"/>
        </w:rPr>
        <w:t>Assente que a regularização fundiária deve se dirigir precipuamente aos núcleos urbanos informais ocupados por população de baixa renda, “</w:t>
      </w:r>
      <w:r w:rsidRPr="00D27944">
        <w:rPr>
          <w:rFonts w:ascii="Century Gothic" w:hAnsi="Century Gothic"/>
          <w:sz w:val="20"/>
          <w:szCs w:val="20"/>
        </w:rPr>
        <w:t xml:space="preserve">mediante o estabelecimento de normas especiais de urbanização, uso e ocupação do solo e edificação, consideradas a situação socioeconômica da população e as normas ambientais” (art. 2º, XIV, do Estatuto da Cidade), é preciso bem demarcar que as </w:t>
      </w:r>
      <w:r w:rsidRPr="00E678C5">
        <w:rPr>
          <w:rFonts w:ascii="Century Gothic" w:hAnsi="Century Gothic"/>
          <w:sz w:val="20"/>
          <w:szCs w:val="20"/>
          <w:u w:val="single"/>
        </w:rPr>
        <w:t>flexibilizações</w:t>
      </w:r>
      <w:r w:rsidRPr="00D27944">
        <w:rPr>
          <w:rFonts w:ascii="Century Gothic" w:hAnsi="Century Gothic"/>
          <w:sz w:val="20"/>
          <w:szCs w:val="20"/>
        </w:rPr>
        <w:t xml:space="preserve"> à legislação urbanística e ambiental são </w:t>
      </w:r>
      <w:r w:rsidRPr="00E678C5">
        <w:rPr>
          <w:rFonts w:ascii="Century Gothic" w:hAnsi="Century Gothic"/>
          <w:sz w:val="20"/>
          <w:szCs w:val="20"/>
          <w:u w:val="single"/>
        </w:rPr>
        <w:t>maiores</w:t>
      </w:r>
      <w:r w:rsidRPr="00D27944">
        <w:rPr>
          <w:rFonts w:ascii="Century Gothic" w:hAnsi="Century Gothic"/>
          <w:sz w:val="20"/>
          <w:szCs w:val="20"/>
        </w:rPr>
        <w:t xml:space="preserve"> para a regularização fundiária de interesse social</w:t>
      </w:r>
      <w:r w:rsidR="00697CF0">
        <w:rPr>
          <w:rFonts w:ascii="Century Gothic" w:hAnsi="Century Gothic"/>
          <w:sz w:val="20"/>
          <w:szCs w:val="20"/>
        </w:rPr>
        <w:t xml:space="preserve"> e </w:t>
      </w:r>
      <w:r w:rsidR="00697CF0" w:rsidRPr="00E678C5">
        <w:rPr>
          <w:rFonts w:ascii="Century Gothic" w:hAnsi="Century Gothic"/>
          <w:sz w:val="20"/>
          <w:szCs w:val="20"/>
          <w:u w:val="single"/>
        </w:rPr>
        <w:t>menores</w:t>
      </w:r>
      <w:r w:rsidR="00697CF0">
        <w:rPr>
          <w:rFonts w:ascii="Century Gothic" w:hAnsi="Century Gothic"/>
          <w:sz w:val="20"/>
          <w:szCs w:val="20"/>
        </w:rPr>
        <w:t xml:space="preserve"> para a regularização fundiária de interesse específico</w:t>
      </w:r>
      <w:r w:rsidRPr="00D27944">
        <w:rPr>
          <w:rFonts w:ascii="Century Gothic" w:hAnsi="Century Gothic"/>
          <w:sz w:val="20"/>
          <w:szCs w:val="20"/>
        </w:rPr>
        <w:t>.</w:t>
      </w:r>
    </w:p>
    <w:p w14:paraId="407DA9CC" w14:textId="77777777" w:rsidR="00D414DA" w:rsidRPr="00D27944" w:rsidRDefault="00D414DA" w:rsidP="00C9650C">
      <w:pPr>
        <w:spacing w:after="0" w:line="360" w:lineRule="auto"/>
        <w:ind w:firstLine="1701"/>
        <w:jc w:val="both"/>
        <w:rPr>
          <w:rFonts w:ascii="Century Gothic" w:hAnsi="Century Gothic"/>
          <w:sz w:val="20"/>
          <w:szCs w:val="20"/>
        </w:rPr>
      </w:pPr>
    </w:p>
    <w:p w14:paraId="63B85AFC" w14:textId="7D25B8FA" w:rsidR="003F4DC4" w:rsidRDefault="003F4DC4" w:rsidP="00C9650C">
      <w:pPr>
        <w:spacing w:after="0" w:line="360" w:lineRule="auto"/>
        <w:ind w:firstLine="1701"/>
        <w:jc w:val="both"/>
        <w:rPr>
          <w:rFonts w:ascii="Century Gothic" w:hAnsi="Century Gothic"/>
          <w:sz w:val="20"/>
          <w:szCs w:val="20"/>
        </w:rPr>
      </w:pPr>
      <w:r w:rsidRPr="00D27944">
        <w:rPr>
          <w:rFonts w:ascii="Century Gothic" w:hAnsi="Century Gothic"/>
          <w:sz w:val="20"/>
          <w:szCs w:val="20"/>
        </w:rPr>
        <w:t xml:space="preserve">Bem por isso, somente haverá justificativa para que o Poder Público invista recursos na regularização fundiária de interesse social quando se tratar de ocupação </w:t>
      </w:r>
      <w:r w:rsidRPr="007D7BBE">
        <w:rPr>
          <w:rFonts w:ascii="Century Gothic" w:hAnsi="Century Gothic"/>
          <w:sz w:val="20"/>
          <w:szCs w:val="20"/>
          <w:u w:val="single"/>
        </w:rPr>
        <w:t>consolidada</w:t>
      </w:r>
      <w:r w:rsidRPr="00D27944">
        <w:rPr>
          <w:rFonts w:ascii="Century Gothic" w:hAnsi="Century Gothic"/>
          <w:sz w:val="20"/>
          <w:szCs w:val="20"/>
        </w:rPr>
        <w:t xml:space="preserve">. </w:t>
      </w:r>
      <w:r w:rsidR="001F7416">
        <w:rPr>
          <w:rFonts w:ascii="Century Gothic" w:hAnsi="Century Gothic"/>
          <w:sz w:val="20"/>
          <w:szCs w:val="20"/>
        </w:rPr>
        <w:t>A MP nº 759/2016 não traz nenhuma exigência nesse sentido, o que pode levar a um</w:t>
      </w:r>
      <w:r w:rsidRPr="00D27944">
        <w:rPr>
          <w:rFonts w:ascii="Century Gothic" w:hAnsi="Century Gothic"/>
          <w:sz w:val="20"/>
          <w:szCs w:val="20"/>
        </w:rPr>
        <w:t xml:space="preserve"> estímulo indireto à contínua ocupação informal do solo na expectativa de futuras leis de anistia.</w:t>
      </w:r>
    </w:p>
    <w:p w14:paraId="614708B4" w14:textId="77777777" w:rsidR="00D414DA" w:rsidRPr="00D27944" w:rsidRDefault="00D414DA" w:rsidP="00C9650C">
      <w:pPr>
        <w:spacing w:after="0" w:line="360" w:lineRule="auto"/>
        <w:ind w:firstLine="1701"/>
        <w:jc w:val="both"/>
        <w:rPr>
          <w:rFonts w:ascii="Century Gothic" w:hAnsi="Century Gothic"/>
          <w:sz w:val="20"/>
          <w:szCs w:val="20"/>
        </w:rPr>
      </w:pPr>
    </w:p>
    <w:p w14:paraId="0F3C1544" w14:textId="18E4126C" w:rsidR="003F4DC4" w:rsidRPr="00D27944" w:rsidRDefault="003F4DC4" w:rsidP="00F75E08">
      <w:pPr>
        <w:spacing w:after="0" w:line="360" w:lineRule="auto"/>
        <w:ind w:firstLine="1701"/>
        <w:jc w:val="both"/>
        <w:rPr>
          <w:rFonts w:ascii="Century Gothic" w:hAnsi="Century Gothic"/>
          <w:sz w:val="20"/>
          <w:szCs w:val="20"/>
        </w:rPr>
      </w:pPr>
      <w:r w:rsidRPr="00D27944">
        <w:rPr>
          <w:rFonts w:ascii="Century Gothic" w:hAnsi="Century Gothic"/>
          <w:sz w:val="20"/>
          <w:szCs w:val="20"/>
        </w:rPr>
        <w:t xml:space="preserve">Nesse ponto, a Lei nº 11.977/09 estabelecia alguns critérios importantes para a qualificação do interesse social, além da ocupação por população de baixa renda, como: </w:t>
      </w:r>
      <w:r w:rsidRPr="007D7BBE">
        <w:rPr>
          <w:rFonts w:ascii="Century Gothic" w:hAnsi="Century Gothic"/>
          <w:sz w:val="20"/>
          <w:szCs w:val="20"/>
          <w:u w:val="single"/>
        </w:rPr>
        <w:t>período mínimo de ocupação</w:t>
      </w:r>
      <w:r w:rsidRPr="00D27944">
        <w:rPr>
          <w:rFonts w:ascii="Century Gothic" w:hAnsi="Century Gothic"/>
          <w:sz w:val="20"/>
          <w:szCs w:val="20"/>
        </w:rPr>
        <w:t xml:space="preserve"> (cinco anos) e </w:t>
      </w:r>
      <w:r w:rsidRPr="007D7BBE">
        <w:rPr>
          <w:rFonts w:ascii="Century Gothic" w:hAnsi="Century Gothic"/>
          <w:sz w:val="20"/>
          <w:szCs w:val="20"/>
          <w:u w:val="single"/>
        </w:rPr>
        <w:t>localização em Zona Especial de Interesse Social</w:t>
      </w:r>
      <w:r w:rsidRPr="00D27944">
        <w:rPr>
          <w:rFonts w:ascii="Century Gothic" w:hAnsi="Century Gothic"/>
          <w:sz w:val="20"/>
          <w:szCs w:val="20"/>
        </w:rPr>
        <w:t xml:space="preserve"> – ZEIS ou em áreas públicas declaradas de interesse para implantação de projetos de regularização fundiária de interesse social.</w:t>
      </w:r>
      <w:r w:rsidR="00697CF0">
        <w:rPr>
          <w:rStyle w:val="Refdenotaderodap"/>
          <w:rFonts w:ascii="Century Gothic" w:hAnsi="Century Gothic"/>
          <w:sz w:val="20"/>
          <w:szCs w:val="20"/>
        </w:rPr>
        <w:footnoteReference w:id="9"/>
      </w:r>
      <w:r w:rsidRPr="00D27944">
        <w:rPr>
          <w:rFonts w:ascii="Century Gothic" w:hAnsi="Century Gothic"/>
          <w:sz w:val="20"/>
          <w:szCs w:val="20"/>
        </w:rPr>
        <w:t xml:space="preserve"> A </w:t>
      </w:r>
      <w:r w:rsidR="00697CF0">
        <w:rPr>
          <w:rFonts w:ascii="Century Gothic" w:hAnsi="Century Gothic"/>
          <w:sz w:val="20"/>
          <w:szCs w:val="20"/>
        </w:rPr>
        <w:t>MP</w:t>
      </w:r>
      <w:r w:rsidRPr="00D27944">
        <w:rPr>
          <w:rFonts w:ascii="Century Gothic" w:hAnsi="Century Gothic"/>
          <w:sz w:val="20"/>
          <w:szCs w:val="20"/>
        </w:rPr>
        <w:t xml:space="preserve"> nº 759</w:t>
      </w:r>
      <w:r w:rsidR="00697CF0">
        <w:rPr>
          <w:rFonts w:ascii="Century Gothic" w:hAnsi="Century Gothic"/>
          <w:sz w:val="20"/>
          <w:szCs w:val="20"/>
        </w:rPr>
        <w:t>/2016</w:t>
      </w:r>
      <w:r w:rsidRPr="00D27944">
        <w:rPr>
          <w:rFonts w:ascii="Century Gothic" w:hAnsi="Century Gothic"/>
          <w:sz w:val="20"/>
          <w:szCs w:val="20"/>
        </w:rPr>
        <w:t xml:space="preserve"> não fez referência </w:t>
      </w:r>
      <w:r w:rsidR="00F75E08">
        <w:rPr>
          <w:rFonts w:ascii="Century Gothic" w:hAnsi="Century Gothic"/>
          <w:sz w:val="20"/>
          <w:szCs w:val="20"/>
        </w:rPr>
        <w:t>a nenhum desses critérios.</w:t>
      </w:r>
      <w:r w:rsidRPr="00D27944">
        <w:rPr>
          <w:rFonts w:ascii="Century Gothic" w:hAnsi="Century Gothic"/>
          <w:sz w:val="20"/>
          <w:szCs w:val="20"/>
        </w:rPr>
        <w:t xml:space="preserve"> </w:t>
      </w:r>
      <w:r w:rsidR="00F75E08">
        <w:rPr>
          <w:rFonts w:ascii="Century Gothic" w:hAnsi="Century Gothic"/>
          <w:sz w:val="20"/>
          <w:szCs w:val="20"/>
        </w:rPr>
        <w:t xml:space="preserve">Ressalte-se que a </w:t>
      </w:r>
      <w:r w:rsidRPr="00D27944">
        <w:rPr>
          <w:rFonts w:ascii="Century Gothic" w:hAnsi="Century Gothic"/>
          <w:sz w:val="20"/>
          <w:szCs w:val="20"/>
        </w:rPr>
        <w:t>ZEIS é um instrumen</w:t>
      </w:r>
      <w:r w:rsidR="00697CF0">
        <w:rPr>
          <w:rFonts w:ascii="Century Gothic" w:hAnsi="Century Gothic"/>
          <w:sz w:val="20"/>
          <w:szCs w:val="20"/>
        </w:rPr>
        <w:t>to importante de planejamento de</w:t>
      </w:r>
      <w:r w:rsidRPr="00D27944">
        <w:rPr>
          <w:rFonts w:ascii="Century Gothic" w:hAnsi="Century Gothic"/>
          <w:sz w:val="20"/>
          <w:szCs w:val="20"/>
        </w:rPr>
        <w:t xml:space="preserve"> uso e ocupação do</w:t>
      </w:r>
      <w:r w:rsidR="003426AC" w:rsidRPr="00D27944">
        <w:rPr>
          <w:rFonts w:ascii="Century Gothic" w:hAnsi="Century Gothic"/>
          <w:sz w:val="20"/>
          <w:szCs w:val="20"/>
        </w:rPr>
        <w:t xml:space="preserve"> solo, na medida em que vocaciona determinados lugares, vazios ou não, à ocupaçã</w:t>
      </w:r>
      <w:r w:rsidR="00F75E08">
        <w:rPr>
          <w:rFonts w:ascii="Century Gothic" w:hAnsi="Century Gothic"/>
          <w:sz w:val="20"/>
          <w:szCs w:val="20"/>
        </w:rPr>
        <w:t>o por população de baixa renda, contribuindo</w:t>
      </w:r>
      <w:r w:rsidR="003426AC" w:rsidRPr="00D27944">
        <w:rPr>
          <w:rFonts w:ascii="Century Gothic" w:hAnsi="Century Gothic"/>
          <w:sz w:val="20"/>
          <w:szCs w:val="20"/>
        </w:rPr>
        <w:t xml:space="preserve"> para a melhor </w:t>
      </w:r>
      <w:r w:rsidR="003426AC" w:rsidRPr="00D27944">
        <w:rPr>
          <w:rFonts w:ascii="Century Gothic" w:hAnsi="Century Gothic"/>
          <w:sz w:val="20"/>
          <w:szCs w:val="20"/>
        </w:rPr>
        <w:lastRenderedPageBreak/>
        <w:t xml:space="preserve">integração da regularização fundiária à política urbana como um todo, pois a delimitação de ZEIS se faz por meio de leis urbanísticas, com participação popular. </w:t>
      </w:r>
    </w:p>
    <w:p w14:paraId="3330152A" w14:textId="77777777" w:rsidR="003426AC" w:rsidRPr="00D27944" w:rsidRDefault="003426AC" w:rsidP="008A2EC0">
      <w:pPr>
        <w:spacing w:after="0" w:line="360" w:lineRule="auto"/>
        <w:jc w:val="both"/>
        <w:rPr>
          <w:rFonts w:ascii="Century Gothic" w:hAnsi="Century Gothic"/>
          <w:sz w:val="20"/>
          <w:szCs w:val="20"/>
        </w:rPr>
      </w:pPr>
    </w:p>
    <w:p w14:paraId="56A8AF9E" w14:textId="7E6B86F3" w:rsidR="003426AC" w:rsidRPr="00226A81" w:rsidRDefault="003426AC" w:rsidP="00226A81">
      <w:pPr>
        <w:pStyle w:val="PargrafodaLista"/>
        <w:numPr>
          <w:ilvl w:val="0"/>
          <w:numId w:val="2"/>
        </w:numPr>
        <w:spacing w:after="0" w:line="360" w:lineRule="auto"/>
        <w:jc w:val="both"/>
        <w:rPr>
          <w:rFonts w:ascii="Century Gothic" w:hAnsi="Century Gothic"/>
          <w:b/>
          <w:sz w:val="20"/>
          <w:szCs w:val="20"/>
        </w:rPr>
      </w:pPr>
      <w:r w:rsidRPr="00226A81">
        <w:rPr>
          <w:rFonts w:ascii="Century Gothic" w:hAnsi="Century Gothic"/>
          <w:b/>
          <w:sz w:val="20"/>
          <w:szCs w:val="20"/>
        </w:rPr>
        <w:t xml:space="preserve">DA POSSIBILIDADE DE DIMINUIÇÃO DO PERCENTUAL DE ÁREAS PÚBLICAS E DO TAMANHO MÍNIMO DE LOTE </w:t>
      </w:r>
    </w:p>
    <w:p w14:paraId="04E7FD4F" w14:textId="77777777" w:rsidR="00384783" w:rsidRDefault="00384783" w:rsidP="00C9650C">
      <w:pPr>
        <w:spacing w:after="0" w:line="360" w:lineRule="auto"/>
        <w:ind w:firstLine="1701"/>
        <w:jc w:val="both"/>
        <w:rPr>
          <w:rFonts w:ascii="Century Gothic" w:hAnsi="Century Gothic" w:cstheme="majorHAnsi"/>
          <w:sz w:val="20"/>
          <w:szCs w:val="20"/>
        </w:rPr>
      </w:pPr>
    </w:p>
    <w:p w14:paraId="2066258E" w14:textId="6D719ECF" w:rsidR="00DD6723" w:rsidRDefault="0002072B" w:rsidP="00C9650C">
      <w:pPr>
        <w:spacing w:after="0" w:line="360" w:lineRule="auto"/>
        <w:ind w:firstLine="1701"/>
        <w:jc w:val="both"/>
        <w:rPr>
          <w:rFonts w:ascii="Century Gothic" w:hAnsi="Century Gothic" w:cs="Arial"/>
          <w:color w:val="000000"/>
          <w:sz w:val="20"/>
          <w:szCs w:val="20"/>
        </w:rPr>
      </w:pPr>
      <w:r w:rsidRPr="00D27944">
        <w:rPr>
          <w:rFonts w:ascii="Century Gothic" w:hAnsi="Century Gothic" w:cstheme="majorHAnsi"/>
          <w:sz w:val="20"/>
          <w:szCs w:val="20"/>
        </w:rPr>
        <w:t xml:space="preserve">O art. 9º, §1º, da MP </w:t>
      </w:r>
      <w:r w:rsidR="006B74AA">
        <w:rPr>
          <w:rFonts w:ascii="Century Gothic" w:hAnsi="Century Gothic" w:cstheme="majorHAnsi"/>
          <w:sz w:val="20"/>
          <w:szCs w:val="20"/>
        </w:rPr>
        <w:t xml:space="preserve">nº </w:t>
      </w:r>
      <w:r w:rsidRPr="00D27944">
        <w:rPr>
          <w:rFonts w:ascii="Century Gothic" w:hAnsi="Century Gothic" w:cstheme="majorHAnsi"/>
          <w:sz w:val="20"/>
          <w:szCs w:val="20"/>
        </w:rPr>
        <w:t>759/2016 estabelece que: “</w:t>
      </w:r>
      <w:r w:rsidRPr="00D27944">
        <w:rPr>
          <w:rFonts w:ascii="Century Gothic" w:hAnsi="Century Gothic" w:cs="Arial"/>
          <w:color w:val="000000"/>
          <w:sz w:val="20"/>
          <w:szCs w:val="20"/>
        </w:rPr>
        <w:t>Para fins de Reurb, os Municípios poderão dispensar as exigências relativas ao percentual e às dimensões de áreas destinadas ao uso público ou ao tamanho dos lotes regularizados, assim como a outros parâmetros urbanísticos e edilícios”.</w:t>
      </w:r>
    </w:p>
    <w:p w14:paraId="32F1C335" w14:textId="77777777" w:rsidR="00D414DA" w:rsidRPr="00D27944" w:rsidRDefault="00D414DA" w:rsidP="00C9650C">
      <w:pPr>
        <w:spacing w:after="0" w:line="360" w:lineRule="auto"/>
        <w:ind w:firstLine="1701"/>
        <w:jc w:val="both"/>
        <w:rPr>
          <w:rFonts w:ascii="Century Gothic" w:hAnsi="Century Gothic" w:cstheme="majorHAnsi"/>
          <w:sz w:val="20"/>
          <w:szCs w:val="20"/>
        </w:rPr>
      </w:pPr>
    </w:p>
    <w:p w14:paraId="09BB744F" w14:textId="007F1E9F" w:rsidR="009E5CB3" w:rsidRDefault="0002072B" w:rsidP="00C9650C">
      <w:pPr>
        <w:spacing w:after="0" w:line="360" w:lineRule="auto"/>
        <w:ind w:firstLine="1701"/>
        <w:jc w:val="both"/>
        <w:rPr>
          <w:rFonts w:ascii="Century Gothic" w:hAnsi="Century Gothic" w:cstheme="majorHAnsi"/>
          <w:sz w:val="20"/>
          <w:szCs w:val="20"/>
        </w:rPr>
      </w:pPr>
      <w:r w:rsidRPr="00D27944">
        <w:rPr>
          <w:rFonts w:ascii="Century Gothic" w:hAnsi="Century Gothic" w:cstheme="majorHAnsi"/>
          <w:sz w:val="20"/>
          <w:szCs w:val="20"/>
        </w:rPr>
        <w:t xml:space="preserve">A flexibilização de padrões urbanísticos é medida imprescindível para se atingir a conformação jurídica dos assentamentos informais. Entretanto, a MP nº 759/2016 não estabeleceu </w:t>
      </w:r>
      <w:r w:rsidRPr="00F75E08">
        <w:rPr>
          <w:rFonts w:ascii="Century Gothic" w:hAnsi="Century Gothic" w:cstheme="majorHAnsi"/>
          <w:sz w:val="20"/>
          <w:szCs w:val="20"/>
          <w:u w:val="single"/>
        </w:rPr>
        <w:t>parâmetros de limitação</w:t>
      </w:r>
      <w:r w:rsidRPr="00D27944">
        <w:rPr>
          <w:rFonts w:ascii="Century Gothic" w:hAnsi="Century Gothic" w:cstheme="majorHAnsi"/>
          <w:sz w:val="20"/>
          <w:szCs w:val="20"/>
        </w:rPr>
        <w:t xml:space="preserve"> da benesse, que passou a configurar verdadeira anistia a qualquer tipo de núcleo urbano informal.</w:t>
      </w:r>
    </w:p>
    <w:p w14:paraId="4D71BF2F" w14:textId="77777777" w:rsidR="00D414DA" w:rsidRPr="00D27944" w:rsidRDefault="00D414DA" w:rsidP="00C9650C">
      <w:pPr>
        <w:spacing w:after="0" w:line="360" w:lineRule="auto"/>
        <w:ind w:firstLine="1701"/>
        <w:jc w:val="both"/>
        <w:rPr>
          <w:rFonts w:ascii="Century Gothic" w:hAnsi="Century Gothic" w:cstheme="majorHAnsi"/>
          <w:sz w:val="20"/>
          <w:szCs w:val="20"/>
        </w:rPr>
      </w:pPr>
    </w:p>
    <w:p w14:paraId="27C67987" w14:textId="1097C200" w:rsidR="0002072B" w:rsidRDefault="0002072B" w:rsidP="00C9650C">
      <w:pPr>
        <w:spacing w:after="0" w:line="360" w:lineRule="auto"/>
        <w:ind w:firstLine="1701"/>
        <w:jc w:val="both"/>
        <w:rPr>
          <w:rFonts w:ascii="Century Gothic" w:hAnsi="Century Gothic" w:cstheme="majorHAnsi"/>
          <w:sz w:val="20"/>
          <w:szCs w:val="20"/>
        </w:rPr>
      </w:pPr>
      <w:r w:rsidRPr="00D27944">
        <w:rPr>
          <w:rFonts w:ascii="Century Gothic" w:hAnsi="Century Gothic" w:cstheme="majorHAnsi"/>
          <w:sz w:val="20"/>
          <w:szCs w:val="20"/>
        </w:rPr>
        <w:t xml:space="preserve">Considerando que a regularização fundiária não pode ser compreendida de modo dissociado do </w:t>
      </w:r>
      <w:r w:rsidRPr="00F75E08">
        <w:rPr>
          <w:rFonts w:ascii="Century Gothic" w:hAnsi="Century Gothic" w:cstheme="majorHAnsi"/>
          <w:sz w:val="20"/>
          <w:szCs w:val="20"/>
          <w:u w:val="single"/>
        </w:rPr>
        <w:t>planejamento urbano</w:t>
      </w:r>
      <w:r w:rsidRPr="00D27944">
        <w:rPr>
          <w:rFonts w:ascii="Century Gothic" w:hAnsi="Century Gothic" w:cstheme="majorHAnsi"/>
          <w:sz w:val="20"/>
          <w:szCs w:val="20"/>
        </w:rPr>
        <w:t xml:space="preserve">, a flexibilização de padrões urbanísticos sem maiores critérios pode levar à </w:t>
      </w:r>
      <w:r w:rsidRPr="00F75E08">
        <w:rPr>
          <w:rFonts w:ascii="Century Gothic" w:hAnsi="Century Gothic" w:cstheme="majorHAnsi"/>
          <w:sz w:val="20"/>
          <w:szCs w:val="20"/>
          <w:u w:val="single"/>
        </w:rPr>
        <w:t>desfuncionalização</w:t>
      </w:r>
      <w:r w:rsidRPr="00D27944">
        <w:rPr>
          <w:rFonts w:ascii="Century Gothic" w:hAnsi="Century Gothic" w:cstheme="majorHAnsi"/>
          <w:sz w:val="20"/>
          <w:szCs w:val="20"/>
        </w:rPr>
        <w:t xml:space="preserve"> da cidade – contrariand</w:t>
      </w:r>
      <w:r w:rsidR="00F75E08">
        <w:rPr>
          <w:rFonts w:ascii="Century Gothic" w:hAnsi="Century Gothic" w:cstheme="majorHAnsi"/>
          <w:sz w:val="20"/>
          <w:szCs w:val="20"/>
        </w:rPr>
        <w:t>o um princípio previsto na própria</w:t>
      </w:r>
      <w:r w:rsidRPr="00D27944">
        <w:rPr>
          <w:rFonts w:ascii="Century Gothic" w:hAnsi="Century Gothic" w:cstheme="majorHAnsi"/>
          <w:sz w:val="20"/>
          <w:szCs w:val="20"/>
        </w:rPr>
        <w:t xml:space="preserve"> MP nº 759/2016 (art. 8º, parágrafo único).</w:t>
      </w:r>
    </w:p>
    <w:p w14:paraId="07883CF9" w14:textId="77777777" w:rsidR="00D414DA" w:rsidRPr="00D27944" w:rsidRDefault="00D414DA" w:rsidP="00C9650C">
      <w:pPr>
        <w:spacing w:after="0" w:line="360" w:lineRule="auto"/>
        <w:ind w:firstLine="1701"/>
        <w:jc w:val="both"/>
        <w:rPr>
          <w:rFonts w:ascii="Century Gothic" w:hAnsi="Century Gothic" w:cstheme="majorHAnsi"/>
          <w:sz w:val="20"/>
          <w:szCs w:val="20"/>
        </w:rPr>
      </w:pPr>
    </w:p>
    <w:p w14:paraId="639A4282" w14:textId="030AE6BB" w:rsidR="0002072B" w:rsidRPr="00D27944" w:rsidRDefault="0002072B" w:rsidP="00C9650C">
      <w:pPr>
        <w:spacing w:after="0" w:line="360" w:lineRule="auto"/>
        <w:ind w:firstLine="1701"/>
        <w:jc w:val="both"/>
        <w:rPr>
          <w:rFonts w:ascii="Century Gothic" w:hAnsi="Century Gothic" w:cstheme="majorHAnsi"/>
          <w:sz w:val="20"/>
          <w:szCs w:val="20"/>
        </w:rPr>
      </w:pPr>
      <w:r w:rsidRPr="00D27944">
        <w:rPr>
          <w:rFonts w:ascii="Century Gothic" w:hAnsi="Century Gothic" w:cstheme="majorHAnsi"/>
          <w:sz w:val="20"/>
          <w:szCs w:val="20"/>
        </w:rPr>
        <w:t xml:space="preserve">A </w:t>
      </w:r>
      <w:r w:rsidR="006B74AA">
        <w:rPr>
          <w:rFonts w:ascii="Century Gothic" w:hAnsi="Century Gothic" w:cstheme="majorHAnsi"/>
          <w:sz w:val="20"/>
          <w:szCs w:val="20"/>
        </w:rPr>
        <w:t>Lei nº 11.977/09</w:t>
      </w:r>
      <w:r w:rsidRPr="00D27944">
        <w:rPr>
          <w:rFonts w:ascii="Century Gothic" w:hAnsi="Century Gothic" w:cstheme="majorHAnsi"/>
          <w:sz w:val="20"/>
          <w:szCs w:val="20"/>
        </w:rPr>
        <w:t xml:space="preserve"> previa dois limites: um, de natureza temporal, para abranger os assentamentos anteriores à publicação daquela lei; outro, de natureza funcional, para abranger somente os assentamentos consolidados.</w:t>
      </w:r>
      <w:r w:rsidR="006B74AA">
        <w:rPr>
          <w:rStyle w:val="Refdenotaderodap"/>
          <w:rFonts w:ascii="Century Gothic" w:hAnsi="Century Gothic" w:cstheme="majorHAnsi"/>
          <w:sz w:val="20"/>
          <w:szCs w:val="20"/>
        </w:rPr>
        <w:footnoteReference w:id="10"/>
      </w:r>
      <w:r w:rsidRPr="00D27944">
        <w:rPr>
          <w:rFonts w:ascii="Century Gothic" w:hAnsi="Century Gothic" w:cstheme="majorHAnsi"/>
          <w:sz w:val="20"/>
          <w:szCs w:val="20"/>
        </w:rPr>
        <w:t xml:space="preserve"> Buscava-se, com isso, a flexibilização apenas para os casos de assentamentos com a característica de </w:t>
      </w:r>
      <w:r w:rsidRPr="00F75E08">
        <w:rPr>
          <w:rFonts w:ascii="Century Gothic" w:hAnsi="Century Gothic" w:cstheme="majorHAnsi"/>
          <w:sz w:val="20"/>
          <w:szCs w:val="20"/>
          <w:u w:val="single"/>
        </w:rPr>
        <w:t>irreversibilidade</w:t>
      </w:r>
      <w:r w:rsidR="004F5237" w:rsidRPr="00D27944">
        <w:rPr>
          <w:rFonts w:ascii="Century Gothic" w:hAnsi="Century Gothic" w:cstheme="majorHAnsi"/>
          <w:sz w:val="20"/>
          <w:szCs w:val="20"/>
        </w:rPr>
        <w:t>, com certa predominância das</w:t>
      </w:r>
      <w:r w:rsidR="006B74AA">
        <w:rPr>
          <w:rFonts w:ascii="Century Gothic" w:hAnsi="Century Gothic" w:cstheme="majorHAnsi"/>
          <w:sz w:val="20"/>
          <w:szCs w:val="20"/>
        </w:rPr>
        <w:t xml:space="preserve"> hipóteses de interesse social – </w:t>
      </w:r>
      <w:r w:rsidR="004F5237" w:rsidRPr="00D27944">
        <w:rPr>
          <w:rFonts w:ascii="Century Gothic" w:hAnsi="Century Gothic" w:cstheme="majorHAnsi"/>
          <w:sz w:val="20"/>
          <w:szCs w:val="20"/>
        </w:rPr>
        <w:t>os critérios para se considerar o assentamento como consolidado se ajustavam, na prática, a tal hipótese, o que é plenamente justificável, na medida em que o Poder Público deve priorizar a regularização fundiária vol</w:t>
      </w:r>
      <w:r w:rsidR="006B74AA">
        <w:rPr>
          <w:rFonts w:ascii="Century Gothic" w:hAnsi="Century Gothic" w:cstheme="majorHAnsi"/>
          <w:sz w:val="20"/>
          <w:szCs w:val="20"/>
        </w:rPr>
        <w:t>tada à população de baixa renda</w:t>
      </w:r>
      <w:r w:rsidR="004F5237" w:rsidRPr="00D27944">
        <w:rPr>
          <w:rFonts w:ascii="Century Gothic" w:hAnsi="Century Gothic" w:cstheme="majorHAnsi"/>
          <w:sz w:val="20"/>
          <w:szCs w:val="20"/>
        </w:rPr>
        <w:t>.</w:t>
      </w:r>
      <w:r w:rsidR="001F6FAE">
        <w:rPr>
          <w:rFonts w:ascii="Century Gothic" w:hAnsi="Century Gothic" w:cstheme="majorHAnsi"/>
          <w:sz w:val="20"/>
          <w:szCs w:val="20"/>
        </w:rPr>
        <w:t xml:space="preserve"> Sugere-se a retomada de tais limites.</w:t>
      </w:r>
    </w:p>
    <w:p w14:paraId="7077351C" w14:textId="283D6D02" w:rsidR="004F5237" w:rsidRPr="00D27944" w:rsidRDefault="004F5237" w:rsidP="008A2EC0">
      <w:pPr>
        <w:spacing w:after="0" w:line="360" w:lineRule="auto"/>
        <w:jc w:val="both"/>
        <w:rPr>
          <w:rFonts w:ascii="Century Gothic" w:hAnsi="Century Gothic" w:cstheme="majorHAnsi"/>
          <w:sz w:val="20"/>
          <w:szCs w:val="20"/>
        </w:rPr>
      </w:pPr>
    </w:p>
    <w:p w14:paraId="578BA6B0" w14:textId="1B75B74B" w:rsidR="004F5237" w:rsidRPr="00226A81" w:rsidRDefault="004F5237" w:rsidP="00226A81">
      <w:pPr>
        <w:pStyle w:val="PargrafodaLista"/>
        <w:numPr>
          <w:ilvl w:val="0"/>
          <w:numId w:val="2"/>
        </w:numPr>
        <w:spacing w:after="0" w:line="360" w:lineRule="auto"/>
        <w:jc w:val="both"/>
        <w:rPr>
          <w:rFonts w:ascii="Century Gothic" w:hAnsi="Century Gothic" w:cstheme="majorHAnsi"/>
          <w:b/>
          <w:sz w:val="20"/>
          <w:szCs w:val="20"/>
        </w:rPr>
      </w:pPr>
      <w:r w:rsidRPr="00226A81">
        <w:rPr>
          <w:rFonts w:ascii="Century Gothic" w:hAnsi="Century Gothic" w:cstheme="majorHAnsi"/>
          <w:b/>
          <w:sz w:val="20"/>
          <w:szCs w:val="20"/>
        </w:rPr>
        <w:t>DO LICENCIAMENTO AMBIENTAL</w:t>
      </w:r>
    </w:p>
    <w:p w14:paraId="42E6D842" w14:textId="77777777" w:rsidR="00384783" w:rsidRDefault="00384783" w:rsidP="00C9650C">
      <w:pPr>
        <w:spacing w:after="0" w:line="360" w:lineRule="auto"/>
        <w:ind w:firstLine="1701"/>
        <w:jc w:val="both"/>
        <w:rPr>
          <w:rFonts w:ascii="Century Gothic" w:hAnsi="Century Gothic" w:cstheme="majorHAnsi"/>
          <w:sz w:val="20"/>
          <w:szCs w:val="20"/>
        </w:rPr>
      </w:pPr>
    </w:p>
    <w:p w14:paraId="07462E1E" w14:textId="68344C01" w:rsidR="004F5237" w:rsidRDefault="004F5237" w:rsidP="00C9650C">
      <w:pPr>
        <w:spacing w:after="0" w:line="360" w:lineRule="auto"/>
        <w:ind w:firstLine="1701"/>
        <w:jc w:val="both"/>
        <w:rPr>
          <w:rFonts w:ascii="Century Gothic" w:hAnsi="Century Gothic" w:cstheme="majorHAnsi"/>
          <w:sz w:val="20"/>
          <w:szCs w:val="20"/>
        </w:rPr>
      </w:pPr>
      <w:r w:rsidRPr="00D27944">
        <w:rPr>
          <w:rFonts w:ascii="Century Gothic" w:hAnsi="Century Gothic" w:cstheme="majorHAnsi"/>
          <w:sz w:val="20"/>
          <w:szCs w:val="20"/>
        </w:rPr>
        <w:t xml:space="preserve">A regularização fundiária </w:t>
      </w:r>
      <w:r w:rsidR="001F6FAE">
        <w:rPr>
          <w:rFonts w:ascii="Century Gothic" w:hAnsi="Century Gothic" w:cstheme="majorHAnsi"/>
          <w:sz w:val="20"/>
          <w:szCs w:val="20"/>
        </w:rPr>
        <w:t xml:space="preserve">pode </w:t>
      </w:r>
      <w:r w:rsidRPr="00D27944">
        <w:rPr>
          <w:rFonts w:ascii="Century Gothic" w:hAnsi="Century Gothic" w:cstheme="majorHAnsi"/>
          <w:sz w:val="20"/>
          <w:szCs w:val="20"/>
        </w:rPr>
        <w:t>abrange</w:t>
      </w:r>
      <w:r w:rsidR="001F6FAE">
        <w:rPr>
          <w:rFonts w:ascii="Century Gothic" w:hAnsi="Century Gothic" w:cstheme="majorHAnsi"/>
          <w:sz w:val="20"/>
          <w:szCs w:val="20"/>
        </w:rPr>
        <w:t>r</w:t>
      </w:r>
      <w:r w:rsidRPr="00D27944">
        <w:rPr>
          <w:rFonts w:ascii="Century Gothic" w:hAnsi="Century Gothic" w:cstheme="majorHAnsi"/>
          <w:sz w:val="20"/>
          <w:szCs w:val="20"/>
        </w:rPr>
        <w:t xml:space="preserve"> também questões ambientais, na medida em que grande parte dos assentamentos informais se situa em locais submetidos à proteção ambiental especial. </w:t>
      </w:r>
    </w:p>
    <w:p w14:paraId="6B4C465D" w14:textId="77777777" w:rsidR="00D414DA" w:rsidRPr="00D27944" w:rsidRDefault="00D414DA" w:rsidP="00C9650C">
      <w:pPr>
        <w:spacing w:after="0" w:line="360" w:lineRule="auto"/>
        <w:ind w:firstLine="1701"/>
        <w:jc w:val="both"/>
        <w:rPr>
          <w:rFonts w:ascii="Century Gothic" w:hAnsi="Century Gothic" w:cstheme="majorHAnsi"/>
          <w:sz w:val="20"/>
          <w:szCs w:val="20"/>
        </w:rPr>
      </w:pPr>
    </w:p>
    <w:p w14:paraId="4F69EE93" w14:textId="7CBF74DB" w:rsidR="001F6FAE" w:rsidRDefault="00F400A1" w:rsidP="00C9650C">
      <w:pPr>
        <w:spacing w:after="0" w:line="360" w:lineRule="auto"/>
        <w:ind w:firstLine="1701"/>
        <w:jc w:val="both"/>
        <w:rPr>
          <w:rFonts w:ascii="Century Gothic" w:hAnsi="Century Gothic" w:cstheme="majorHAnsi"/>
          <w:sz w:val="20"/>
          <w:szCs w:val="20"/>
        </w:rPr>
      </w:pPr>
      <w:r>
        <w:rPr>
          <w:rFonts w:ascii="Century Gothic" w:hAnsi="Century Gothic" w:cstheme="majorHAnsi"/>
          <w:sz w:val="20"/>
          <w:szCs w:val="20"/>
        </w:rPr>
        <w:t>No entanto</w:t>
      </w:r>
      <w:r w:rsidR="001F6FAE">
        <w:rPr>
          <w:rFonts w:ascii="Century Gothic" w:hAnsi="Century Gothic" w:cstheme="majorHAnsi"/>
          <w:sz w:val="20"/>
          <w:szCs w:val="20"/>
        </w:rPr>
        <w:t>, ao tratar do conteúdo mínimo do projeto de regularização fundiária, a MP nº 759/2016 não se refere às medidas de repar</w:t>
      </w:r>
      <w:r w:rsidR="00F711C6">
        <w:rPr>
          <w:rFonts w:ascii="Century Gothic" w:hAnsi="Century Gothic" w:cstheme="majorHAnsi"/>
          <w:sz w:val="20"/>
          <w:szCs w:val="20"/>
        </w:rPr>
        <w:t>ação ambiental, conforme o caso.</w:t>
      </w:r>
      <w:r w:rsidR="001F6FAE">
        <w:rPr>
          <w:rStyle w:val="Refdenotaderodap"/>
          <w:rFonts w:ascii="Century Gothic" w:hAnsi="Century Gothic" w:cstheme="majorHAnsi"/>
          <w:sz w:val="20"/>
          <w:szCs w:val="20"/>
        </w:rPr>
        <w:footnoteReference w:id="11"/>
      </w:r>
    </w:p>
    <w:p w14:paraId="2D10E8CB" w14:textId="77777777" w:rsidR="00D414DA" w:rsidRPr="00D27944" w:rsidRDefault="00D414DA" w:rsidP="00C9650C">
      <w:pPr>
        <w:spacing w:after="0" w:line="360" w:lineRule="auto"/>
        <w:ind w:firstLine="1701"/>
        <w:jc w:val="both"/>
        <w:rPr>
          <w:rFonts w:ascii="Century Gothic" w:hAnsi="Century Gothic" w:cstheme="majorHAnsi"/>
          <w:sz w:val="20"/>
          <w:szCs w:val="20"/>
        </w:rPr>
      </w:pPr>
    </w:p>
    <w:p w14:paraId="3307FEBB" w14:textId="41A6FC2E" w:rsidR="004F5237" w:rsidRDefault="00F400A1" w:rsidP="00C9650C">
      <w:pPr>
        <w:spacing w:after="0" w:line="360" w:lineRule="auto"/>
        <w:ind w:firstLine="1701"/>
        <w:jc w:val="both"/>
        <w:rPr>
          <w:rFonts w:ascii="Century Gothic" w:hAnsi="Century Gothic" w:cs="Arial"/>
          <w:color w:val="000000"/>
          <w:sz w:val="20"/>
          <w:szCs w:val="20"/>
        </w:rPr>
      </w:pPr>
      <w:r>
        <w:rPr>
          <w:rFonts w:ascii="Century Gothic" w:hAnsi="Century Gothic" w:cstheme="majorHAnsi"/>
          <w:sz w:val="20"/>
          <w:szCs w:val="20"/>
        </w:rPr>
        <w:t>N</w:t>
      </w:r>
      <w:r w:rsidR="004F5237" w:rsidRPr="00D27944">
        <w:rPr>
          <w:rFonts w:ascii="Century Gothic" w:hAnsi="Century Gothic" w:cstheme="majorHAnsi"/>
          <w:sz w:val="20"/>
          <w:szCs w:val="20"/>
        </w:rPr>
        <w:t xml:space="preserve">a regularização fundiária de interesse </w:t>
      </w:r>
      <w:r w:rsidR="006B74AA">
        <w:rPr>
          <w:rFonts w:ascii="Century Gothic" w:hAnsi="Century Gothic" w:cstheme="majorHAnsi"/>
          <w:sz w:val="20"/>
          <w:szCs w:val="20"/>
        </w:rPr>
        <w:t>social</w:t>
      </w:r>
      <w:r w:rsidR="004F5237" w:rsidRPr="00D27944">
        <w:rPr>
          <w:rFonts w:ascii="Century Gothic" w:hAnsi="Century Gothic" w:cstheme="majorHAnsi"/>
          <w:sz w:val="20"/>
          <w:szCs w:val="20"/>
        </w:rPr>
        <w:t>, o instrumento normativo não faz nenhuma menção à responsabilidade pela implementação das medidas de reparação ambiental, referindo-se apenas à i</w:t>
      </w:r>
      <w:r w:rsidR="004F5237" w:rsidRPr="00D27944">
        <w:rPr>
          <w:rFonts w:ascii="Century Gothic" w:hAnsi="Century Gothic" w:cs="Arial"/>
          <w:color w:val="000000"/>
          <w:sz w:val="20"/>
          <w:szCs w:val="20"/>
        </w:rPr>
        <w:t xml:space="preserve">mplementação da infraestrutura essencial, </w:t>
      </w:r>
      <w:r w:rsidR="001F6FAE">
        <w:rPr>
          <w:rFonts w:ascii="Century Gothic" w:hAnsi="Century Gothic" w:cs="Arial"/>
          <w:color w:val="000000"/>
          <w:sz w:val="20"/>
          <w:szCs w:val="20"/>
        </w:rPr>
        <w:t>d</w:t>
      </w:r>
      <w:r w:rsidR="004F5237" w:rsidRPr="00D27944">
        <w:rPr>
          <w:rFonts w:ascii="Century Gothic" w:hAnsi="Century Gothic" w:cs="Arial"/>
          <w:color w:val="000000"/>
          <w:sz w:val="20"/>
          <w:szCs w:val="20"/>
        </w:rPr>
        <w:t xml:space="preserve">os equipamentos comunitários e </w:t>
      </w:r>
      <w:r w:rsidR="001F6FAE">
        <w:rPr>
          <w:rFonts w:ascii="Century Gothic" w:hAnsi="Century Gothic" w:cs="Arial"/>
          <w:color w:val="000000"/>
          <w:sz w:val="20"/>
          <w:szCs w:val="20"/>
        </w:rPr>
        <w:t>d</w:t>
      </w:r>
      <w:r w:rsidR="004F5237" w:rsidRPr="00D27944">
        <w:rPr>
          <w:rFonts w:ascii="Century Gothic" w:hAnsi="Century Gothic" w:cs="Arial"/>
          <w:color w:val="000000"/>
          <w:sz w:val="20"/>
          <w:szCs w:val="20"/>
        </w:rPr>
        <w:t xml:space="preserve">as melhorias habitacionais (art. 31, </w:t>
      </w:r>
      <w:r w:rsidR="004F5237" w:rsidRPr="006B74AA">
        <w:rPr>
          <w:rFonts w:ascii="Century Gothic" w:hAnsi="Century Gothic" w:cs="Arial"/>
          <w:i/>
          <w:color w:val="000000"/>
          <w:sz w:val="20"/>
          <w:szCs w:val="20"/>
        </w:rPr>
        <w:t>caput</w:t>
      </w:r>
      <w:r w:rsidR="004F5237" w:rsidRPr="00D27944">
        <w:rPr>
          <w:rFonts w:ascii="Century Gothic" w:hAnsi="Century Gothic" w:cs="Arial"/>
          <w:color w:val="000000"/>
          <w:sz w:val="20"/>
          <w:szCs w:val="20"/>
        </w:rPr>
        <w:t>)</w:t>
      </w:r>
      <w:r w:rsidR="006B74AA">
        <w:rPr>
          <w:rFonts w:ascii="Century Gothic" w:hAnsi="Century Gothic" w:cs="Arial"/>
          <w:color w:val="000000"/>
          <w:sz w:val="20"/>
          <w:szCs w:val="20"/>
        </w:rPr>
        <w:t>.</w:t>
      </w:r>
      <w:r w:rsidR="006B74AA">
        <w:rPr>
          <w:rStyle w:val="Refdenotaderodap"/>
          <w:rFonts w:ascii="Century Gothic" w:hAnsi="Century Gothic" w:cs="Arial"/>
          <w:color w:val="000000"/>
          <w:sz w:val="20"/>
          <w:szCs w:val="20"/>
        </w:rPr>
        <w:footnoteReference w:id="12"/>
      </w:r>
      <w:r w:rsidR="006B74AA">
        <w:rPr>
          <w:rFonts w:ascii="Century Gothic" w:hAnsi="Century Gothic" w:cs="Arial"/>
          <w:color w:val="000000"/>
          <w:sz w:val="20"/>
          <w:szCs w:val="20"/>
        </w:rPr>
        <w:t xml:space="preserve"> </w:t>
      </w:r>
      <w:r w:rsidR="00F711C6">
        <w:rPr>
          <w:rFonts w:ascii="Century Gothic" w:hAnsi="Century Gothic" w:cs="Arial"/>
          <w:color w:val="000000"/>
          <w:sz w:val="20"/>
          <w:szCs w:val="20"/>
        </w:rPr>
        <w:t>Ao revés, a</w:t>
      </w:r>
      <w:r w:rsidR="004F5237" w:rsidRPr="00D27944">
        <w:rPr>
          <w:rFonts w:ascii="Century Gothic" w:hAnsi="Century Gothic" w:cs="Arial"/>
          <w:color w:val="000000"/>
          <w:sz w:val="20"/>
          <w:szCs w:val="20"/>
        </w:rPr>
        <w:t xml:space="preserve">s medidas de mitigação e compensação ambientais são referidas </w:t>
      </w:r>
      <w:r w:rsidR="001F6FAE">
        <w:rPr>
          <w:rFonts w:ascii="Century Gothic" w:hAnsi="Century Gothic" w:cs="Arial"/>
          <w:color w:val="000000"/>
          <w:sz w:val="20"/>
          <w:szCs w:val="20"/>
        </w:rPr>
        <w:t xml:space="preserve">somente </w:t>
      </w:r>
      <w:r w:rsidR="004F5237" w:rsidRPr="00D27944">
        <w:rPr>
          <w:rFonts w:ascii="Century Gothic" w:hAnsi="Century Gothic" w:cs="Arial"/>
          <w:color w:val="000000"/>
          <w:sz w:val="20"/>
          <w:szCs w:val="20"/>
        </w:rPr>
        <w:t xml:space="preserve">na regularização fundiária de interesse específico (art. 32, III). </w:t>
      </w:r>
    </w:p>
    <w:p w14:paraId="30A4E9B8" w14:textId="77777777" w:rsidR="00D414DA" w:rsidRPr="00D27944" w:rsidRDefault="00D414DA" w:rsidP="00C9650C">
      <w:pPr>
        <w:spacing w:after="0" w:line="360" w:lineRule="auto"/>
        <w:ind w:firstLine="1701"/>
        <w:jc w:val="both"/>
        <w:rPr>
          <w:rFonts w:ascii="Century Gothic" w:hAnsi="Century Gothic" w:cs="Arial"/>
          <w:color w:val="000000"/>
          <w:sz w:val="20"/>
          <w:szCs w:val="20"/>
        </w:rPr>
      </w:pPr>
    </w:p>
    <w:p w14:paraId="12960D70" w14:textId="5EE91717" w:rsidR="004F5237" w:rsidRPr="00D27944" w:rsidRDefault="00F711C6" w:rsidP="00C9650C">
      <w:pPr>
        <w:spacing w:after="0" w:line="360" w:lineRule="auto"/>
        <w:ind w:firstLine="1701"/>
        <w:jc w:val="both"/>
        <w:rPr>
          <w:rFonts w:ascii="Century Gothic" w:hAnsi="Century Gothic" w:cs="Arial"/>
          <w:color w:val="000000"/>
          <w:sz w:val="20"/>
          <w:szCs w:val="20"/>
        </w:rPr>
      </w:pPr>
      <w:r>
        <w:rPr>
          <w:rFonts w:ascii="Century Gothic" w:hAnsi="Century Gothic" w:cs="Arial"/>
          <w:color w:val="000000"/>
          <w:sz w:val="20"/>
          <w:szCs w:val="20"/>
        </w:rPr>
        <w:t xml:space="preserve">Diante do tratamento assistemático, </w:t>
      </w:r>
      <w:r w:rsidR="004F5237" w:rsidRPr="00D27944">
        <w:rPr>
          <w:rFonts w:ascii="Century Gothic" w:hAnsi="Century Gothic" w:cs="Arial"/>
          <w:color w:val="000000"/>
          <w:sz w:val="20"/>
          <w:szCs w:val="20"/>
        </w:rPr>
        <w:t>a MP nº 759/2016 poderia dar a impressão de que, na regularização por interesse social, não haveria necessidade de medidas de reparação ambiental – o que contraria a Constituição Federal (art. 225) e a própria Medida Provisória, quando exige a realização de estudo técnico para possibilitar</w:t>
      </w:r>
      <w:r w:rsidR="001F6FAE">
        <w:rPr>
          <w:rFonts w:ascii="Century Gothic" w:hAnsi="Century Gothic" w:cs="Arial"/>
          <w:color w:val="000000"/>
          <w:sz w:val="20"/>
          <w:szCs w:val="20"/>
        </w:rPr>
        <w:t xml:space="preserve"> a consolidação de ocupação em área de preservação p</w:t>
      </w:r>
      <w:r w:rsidR="004F5237" w:rsidRPr="00D27944">
        <w:rPr>
          <w:rFonts w:ascii="Century Gothic" w:hAnsi="Century Gothic" w:cs="Arial"/>
          <w:color w:val="000000"/>
          <w:sz w:val="20"/>
          <w:szCs w:val="20"/>
        </w:rPr>
        <w:t>ermanente (art. 9º, §3º).</w:t>
      </w:r>
      <w:r w:rsidR="006B74AA">
        <w:rPr>
          <w:rStyle w:val="Refdenotaderodap"/>
          <w:rFonts w:ascii="Century Gothic" w:hAnsi="Century Gothic" w:cs="Arial"/>
          <w:color w:val="000000"/>
          <w:sz w:val="20"/>
          <w:szCs w:val="20"/>
        </w:rPr>
        <w:footnoteReference w:id="13"/>
      </w:r>
    </w:p>
    <w:p w14:paraId="79D1ED5D" w14:textId="727A5034" w:rsidR="002D21D7" w:rsidRDefault="002D21D7" w:rsidP="00C9650C">
      <w:pPr>
        <w:spacing w:after="0" w:line="360" w:lineRule="auto"/>
        <w:ind w:firstLine="1701"/>
        <w:jc w:val="both"/>
        <w:rPr>
          <w:rFonts w:ascii="Century Gothic" w:hAnsi="Century Gothic" w:cs="Arial"/>
          <w:color w:val="000000"/>
          <w:sz w:val="20"/>
          <w:szCs w:val="20"/>
        </w:rPr>
      </w:pPr>
      <w:r w:rsidRPr="00D27944">
        <w:rPr>
          <w:rFonts w:ascii="Century Gothic" w:hAnsi="Century Gothic" w:cs="Arial"/>
          <w:color w:val="000000"/>
          <w:sz w:val="20"/>
          <w:szCs w:val="20"/>
        </w:rPr>
        <w:t xml:space="preserve">Ademais, é necessário deixar claro qual será a </w:t>
      </w:r>
      <w:r w:rsidRPr="00F400A1">
        <w:rPr>
          <w:rFonts w:ascii="Century Gothic" w:hAnsi="Century Gothic" w:cs="Arial"/>
          <w:color w:val="000000"/>
          <w:sz w:val="20"/>
          <w:szCs w:val="20"/>
        </w:rPr>
        <w:t>instância responsável</w:t>
      </w:r>
      <w:r w:rsidR="00F400A1">
        <w:rPr>
          <w:rFonts w:ascii="Century Gothic" w:hAnsi="Century Gothic" w:cs="Arial"/>
          <w:color w:val="000000"/>
          <w:sz w:val="20"/>
          <w:szCs w:val="20"/>
        </w:rPr>
        <w:t xml:space="preserve"> pelo licenciamento ambiental, o que passou ao largo da MP nº 759/2016. </w:t>
      </w:r>
      <w:r w:rsidRPr="00D27944">
        <w:rPr>
          <w:rFonts w:ascii="Century Gothic" w:hAnsi="Century Gothic" w:cs="Arial"/>
          <w:color w:val="000000"/>
          <w:sz w:val="20"/>
          <w:szCs w:val="20"/>
        </w:rPr>
        <w:t xml:space="preserve"> A revogada Lei nº 11.977/09 outorgava aos Municípios essa competência, desde que tivessem capacidade técnica para tanto.</w:t>
      </w:r>
      <w:r w:rsidR="006B74AA">
        <w:rPr>
          <w:rStyle w:val="Refdenotaderodap"/>
          <w:rFonts w:ascii="Century Gothic" w:hAnsi="Century Gothic" w:cs="Arial"/>
          <w:color w:val="000000"/>
          <w:sz w:val="20"/>
          <w:szCs w:val="20"/>
        </w:rPr>
        <w:footnoteReference w:id="14"/>
      </w:r>
      <w:r w:rsidRPr="00D27944">
        <w:rPr>
          <w:rFonts w:ascii="Century Gothic" w:hAnsi="Century Gothic" w:cs="Arial"/>
          <w:color w:val="000000"/>
          <w:sz w:val="20"/>
          <w:szCs w:val="20"/>
        </w:rPr>
        <w:t xml:space="preserve"> </w:t>
      </w:r>
    </w:p>
    <w:p w14:paraId="27DD5E60" w14:textId="77777777" w:rsidR="00D414DA" w:rsidRDefault="00D414DA" w:rsidP="00C9650C">
      <w:pPr>
        <w:spacing w:after="0" w:line="360" w:lineRule="auto"/>
        <w:ind w:firstLine="1701"/>
        <w:jc w:val="both"/>
        <w:rPr>
          <w:rFonts w:ascii="Century Gothic" w:hAnsi="Century Gothic" w:cs="Arial"/>
          <w:color w:val="000000"/>
          <w:sz w:val="20"/>
          <w:szCs w:val="20"/>
        </w:rPr>
      </w:pPr>
    </w:p>
    <w:p w14:paraId="0A384196" w14:textId="4849B9CE" w:rsidR="001F6FAE" w:rsidRPr="00D27944" w:rsidRDefault="001F6FAE" w:rsidP="00C9650C">
      <w:pPr>
        <w:spacing w:after="0" w:line="360" w:lineRule="auto"/>
        <w:ind w:firstLine="1701"/>
        <w:jc w:val="both"/>
        <w:rPr>
          <w:rFonts w:ascii="Century Gothic" w:hAnsi="Century Gothic" w:cs="Arial"/>
          <w:color w:val="000000"/>
          <w:sz w:val="20"/>
          <w:szCs w:val="20"/>
        </w:rPr>
      </w:pPr>
      <w:r>
        <w:rPr>
          <w:rFonts w:ascii="Century Gothic" w:hAnsi="Century Gothic" w:cs="Arial"/>
          <w:color w:val="000000"/>
          <w:sz w:val="20"/>
          <w:szCs w:val="20"/>
        </w:rPr>
        <w:t xml:space="preserve">Portanto, o novo marco precisa estabelecer, de modo claro, que os projetos de regularização fundiária abrangem as </w:t>
      </w:r>
      <w:r w:rsidRPr="00F400A1">
        <w:rPr>
          <w:rFonts w:ascii="Century Gothic" w:hAnsi="Century Gothic" w:cs="Arial"/>
          <w:color w:val="000000"/>
          <w:sz w:val="20"/>
          <w:szCs w:val="20"/>
          <w:u w:val="single"/>
        </w:rPr>
        <w:t>questões ambientais</w:t>
      </w:r>
      <w:r>
        <w:rPr>
          <w:rFonts w:ascii="Century Gothic" w:hAnsi="Century Gothic" w:cs="Arial"/>
          <w:color w:val="000000"/>
          <w:sz w:val="20"/>
          <w:szCs w:val="20"/>
        </w:rPr>
        <w:t xml:space="preserve"> e, por conseguinte, o procedimento da regularização passa pelo </w:t>
      </w:r>
      <w:r w:rsidRPr="00F400A1">
        <w:rPr>
          <w:rFonts w:ascii="Century Gothic" w:hAnsi="Century Gothic" w:cs="Arial"/>
          <w:color w:val="000000"/>
          <w:sz w:val="20"/>
          <w:szCs w:val="20"/>
          <w:u w:val="single"/>
        </w:rPr>
        <w:t>licenciamento ambiental</w:t>
      </w:r>
      <w:r>
        <w:rPr>
          <w:rFonts w:ascii="Century Gothic" w:hAnsi="Century Gothic" w:cs="Arial"/>
          <w:color w:val="000000"/>
          <w:sz w:val="20"/>
          <w:szCs w:val="20"/>
        </w:rPr>
        <w:t xml:space="preserve">, além do urbanístico, podendo-se ou não conferir essa </w:t>
      </w:r>
      <w:r w:rsidRPr="00F400A1">
        <w:rPr>
          <w:rFonts w:ascii="Century Gothic" w:hAnsi="Century Gothic" w:cs="Arial"/>
          <w:color w:val="000000"/>
          <w:sz w:val="20"/>
          <w:szCs w:val="20"/>
          <w:u w:val="single"/>
        </w:rPr>
        <w:t>competência</w:t>
      </w:r>
      <w:r>
        <w:rPr>
          <w:rFonts w:ascii="Century Gothic" w:hAnsi="Century Gothic" w:cs="Arial"/>
          <w:color w:val="000000"/>
          <w:sz w:val="20"/>
          <w:szCs w:val="20"/>
        </w:rPr>
        <w:t xml:space="preserve"> aos municípios.</w:t>
      </w:r>
    </w:p>
    <w:p w14:paraId="786487D3" w14:textId="43BB94E0" w:rsidR="002D21D7" w:rsidRPr="00D27944" w:rsidRDefault="002D21D7" w:rsidP="008A2EC0">
      <w:pPr>
        <w:spacing w:after="0" w:line="360" w:lineRule="auto"/>
        <w:jc w:val="both"/>
        <w:rPr>
          <w:rFonts w:ascii="Century Gothic" w:hAnsi="Century Gothic" w:cs="Arial"/>
          <w:color w:val="000000"/>
          <w:sz w:val="20"/>
          <w:szCs w:val="20"/>
        </w:rPr>
      </w:pPr>
    </w:p>
    <w:p w14:paraId="0E4B2C85" w14:textId="3D2D31B8" w:rsidR="002D21D7" w:rsidRPr="00226A81" w:rsidRDefault="002D21D7" w:rsidP="00226A81">
      <w:pPr>
        <w:pStyle w:val="PargrafodaLista"/>
        <w:numPr>
          <w:ilvl w:val="0"/>
          <w:numId w:val="2"/>
        </w:numPr>
        <w:spacing w:after="0" w:line="360" w:lineRule="auto"/>
        <w:jc w:val="both"/>
        <w:rPr>
          <w:rFonts w:ascii="Century Gothic" w:hAnsi="Century Gothic" w:cs="Arial"/>
          <w:b/>
          <w:color w:val="000000"/>
          <w:sz w:val="20"/>
          <w:szCs w:val="20"/>
        </w:rPr>
      </w:pPr>
      <w:r w:rsidRPr="00226A81">
        <w:rPr>
          <w:rFonts w:ascii="Century Gothic" w:hAnsi="Century Gothic" w:cs="Arial"/>
          <w:b/>
          <w:color w:val="000000"/>
          <w:sz w:val="20"/>
          <w:szCs w:val="20"/>
        </w:rPr>
        <w:t>DA CONSOLIDAÇÃO DA OCUPAÇÃO EM ÁREAS ESPECIALMENTE PROTEGIDAS PELA LEGISLAÇÃO AMBIENTAL</w:t>
      </w:r>
    </w:p>
    <w:p w14:paraId="6CD30003" w14:textId="77777777" w:rsidR="00384783" w:rsidRDefault="00384783" w:rsidP="00C9650C">
      <w:pPr>
        <w:spacing w:after="0" w:line="360" w:lineRule="auto"/>
        <w:ind w:firstLine="1701"/>
        <w:jc w:val="both"/>
        <w:rPr>
          <w:rFonts w:ascii="Century Gothic" w:hAnsi="Century Gothic" w:cstheme="majorHAnsi"/>
          <w:sz w:val="20"/>
          <w:szCs w:val="20"/>
        </w:rPr>
      </w:pPr>
    </w:p>
    <w:p w14:paraId="7163BC36" w14:textId="64195647" w:rsidR="002D21D7" w:rsidRDefault="002D21D7" w:rsidP="00C9650C">
      <w:pPr>
        <w:spacing w:after="0" w:line="360" w:lineRule="auto"/>
        <w:ind w:firstLine="1701"/>
        <w:jc w:val="both"/>
        <w:rPr>
          <w:rFonts w:ascii="Century Gothic" w:hAnsi="Century Gothic" w:cstheme="majorHAnsi"/>
          <w:sz w:val="20"/>
          <w:szCs w:val="20"/>
        </w:rPr>
      </w:pPr>
      <w:r w:rsidRPr="00D27944">
        <w:rPr>
          <w:rFonts w:ascii="Century Gothic" w:hAnsi="Century Gothic" w:cstheme="majorHAnsi"/>
          <w:sz w:val="20"/>
          <w:szCs w:val="20"/>
        </w:rPr>
        <w:t>A MP nº 759/2016 remeteu à legislação ambiental em vigor (no caso, a Lei nº 12.651/12) a disciplina sobre</w:t>
      </w:r>
      <w:r w:rsidR="00F711C6">
        <w:rPr>
          <w:rFonts w:ascii="Century Gothic" w:hAnsi="Century Gothic" w:cstheme="majorHAnsi"/>
          <w:sz w:val="20"/>
          <w:szCs w:val="20"/>
        </w:rPr>
        <w:t xml:space="preserve"> a consolidação da ocupação em á</w:t>
      </w:r>
      <w:r w:rsidRPr="00D27944">
        <w:rPr>
          <w:rFonts w:ascii="Century Gothic" w:hAnsi="Century Gothic" w:cstheme="majorHAnsi"/>
          <w:sz w:val="20"/>
          <w:szCs w:val="20"/>
        </w:rPr>
        <w:t>rea</w:t>
      </w:r>
      <w:r w:rsidR="00F711C6">
        <w:rPr>
          <w:rFonts w:ascii="Century Gothic" w:hAnsi="Century Gothic" w:cstheme="majorHAnsi"/>
          <w:sz w:val="20"/>
          <w:szCs w:val="20"/>
        </w:rPr>
        <w:t xml:space="preserve"> de preservação p</w:t>
      </w:r>
      <w:r w:rsidRPr="00D27944">
        <w:rPr>
          <w:rFonts w:ascii="Century Gothic" w:hAnsi="Century Gothic" w:cstheme="majorHAnsi"/>
          <w:sz w:val="20"/>
          <w:szCs w:val="20"/>
        </w:rPr>
        <w:t>ermanente</w:t>
      </w:r>
      <w:r w:rsidR="006B74AA">
        <w:rPr>
          <w:rFonts w:ascii="Century Gothic" w:hAnsi="Century Gothic" w:cstheme="majorHAnsi"/>
          <w:sz w:val="20"/>
          <w:szCs w:val="20"/>
        </w:rPr>
        <w:t xml:space="preserve"> – APP</w:t>
      </w:r>
      <w:r w:rsidRPr="00D27944">
        <w:rPr>
          <w:rFonts w:ascii="Century Gothic" w:hAnsi="Century Gothic" w:cstheme="majorHAnsi"/>
          <w:sz w:val="20"/>
          <w:szCs w:val="20"/>
        </w:rPr>
        <w:t>.</w:t>
      </w:r>
    </w:p>
    <w:p w14:paraId="5E43A4E2" w14:textId="77777777" w:rsidR="00D414DA" w:rsidRPr="00D27944" w:rsidRDefault="00D414DA" w:rsidP="00C9650C">
      <w:pPr>
        <w:spacing w:after="0" w:line="360" w:lineRule="auto"/>
        <w:ind w:firstLine="1701"/>
        <w:jc w:val="both"/>
        <w:rPr>
          <w:rFonts w:ascii="Century Gothic" w:hAnsi="Century Gothic" w:cstheme="majorHAnsi"/>
          <w:sz w:val="20"/>
          <w:szCs w:val="20"/>
        </w:rPr>
      </w:pPr>
    </w:p>
    <w:p w14:paraId="04B9E6DC" w14:textId="61FEABE3" w:rsidR="002D21D7" w:rsidRPr="00D27944" w:rsidRDefault="002D21D7" w:rsidP="00C9650C">
      <w:pPr>
        <w:spacing w:after="0" w:line="360" w:lineRule="auto"/>
        <w:ind w:firstLine="1701"/>
        <w:jc w:val="both"/>
        <w:rPr>
          <w:rFonts w:ascii="Century Gothic" w:hAnsi="Century Gothic" w:cs="Arial"/>
          <w:color w:val="000000"/>
          <w:sz w:val="20"/>
          <w:szCs w:val="20"/>
        </w:rPr>
      </w:pPr>
      <w:r w:rsidRPr="00D27944">
        <w:rPr>
          <w:rFonts w:ascii="Century Gothic" w:hAnsi="Century Gothic" w:cstheme="majorHAnsi"/>
          <w:sz w:val="20"/>
          <w:szCs w:val="20"/>
        </w:rPr>
        <w:t xml:space="preserve">Deve-se observar que a Lei nº 12.651/12 somente autoriza a ocupação de APP na </w:t>
      </w:r>
      <w:r w:rsidRPr="00F400A1">
        <w:rPr>
          <w:rFonts w:ascii="Century Gothic" w:hAnsi="Century Gothic" w:cstheme="majorHAnsi"/>
          <w:sz w:val="20"/>
          <w:szCs w:val="20"/>
          <w:u w:val="single"/>
        </w:rPr>
        <w:t>área urbana</w:t>
      </w:r>
      <w:r w:rsidRPr="00D27944">
        <w:rPr>
          <w:rFonts w:ascii="Century Gothic" w:hAnsi="Century Gothic" w:cstheme="majorHAnsi"/>
          <w:sz w:val="20"/>
          <w:szCs w:val="20"/>
        </w:rPr>
        <w:t xml:space="preserve">, como fica claro dos arts. 64 e 65 – o que contraria a possibilidade prevista na MP nº 759/2016 de se fazer a regularização de assentamentos situados na área rural. Como os dispositivos não são totalmente incompatíveis, a leitura conciliadora </w:t>
      </w:r>
      <w:r w:rsidR="006B74AA">
        <w:rPr>
          <w:rFonts w:ascii="Century Gothic" w:hAnsi="Century Gothic" w:cstheme="majorHAnsi"/>
          <w:sz w:val="20"/>
          <w:szCs w:val="20"/>
        </w:rPr>
        <w:t xml:space="preserve">pode </w:t>
      </w:r>
      <w:r w:rsidRPr="00D27944">
        <w:rPr>
          <w:rFonts w:ascii="Century Gothic" w:hAnsi="Century Gothic" w:cstheme="majorHAnsi"/>
          <w:sz w:val="20"/>
          <w:szCs w:val="20"/>
        </w:rPr>
        <w:t>implica</w:t>
      </w:r>
      <w:r w:rsidR="006B74AA">
        <w:rPr>
          <w:rFonts w:ascii="Century Gothic" w:hAnsi="Century Gothic" w:cstheme="majorHAnsi"/>
          <w:sz w:val="20"/>
          <w:szCs w:val="20"/>
        </w:rPr>
        <w:t>r</w:t>
      </w:r>
      <w:r w:rsidRPr="00D27944">
        <w:rPr>
          <w:rFonts w:ascii="Century Gothic" w:hAnsi="Century Gothic" w:cstheme="majorHAnsi"/>
          <w:sz w:val="20"/>
          <w:szCs w:val="20"/>
        </w:rPr>
        <w:t xml:space="preserve"> que, em se tratando de núcleo urbano situado na área rural, não seria possível a consolidação da ocupação em </w:t>
      </w:r>
      <w:r w:rsidR="006B74AA">
        <w:rPr>
          <w:rFonts w:ascii="Century Gothic" w:hAnsi="Century Gothic" w:cstheme="majorHAnsi"/>
          <w:sz w:val="20"/>
          <w:szCs w:val="20"/>
        </w:rPr>
        <w:t>APP</w:t>
      </w:r>
      <w:r w:rsidRPr="00D27944">
        <w:rPr>
          <w:rFonts w:ascii="Century Gothic" w:hAnsi="Century Gothic" w:cstheme="majorHAnsi"/>
          <w:sz w:val="20"/>
          <w:szCs w:val="20"/>
        </w:rPr>
        <w:t xml:space="preserve">, pois a Lei nº 12.651/16 somente possibilita o uso consolidado para finalidades rurais, como </w:t>
      </w:r>
      <w:r w:rsidRPr="00D27944">
        <w:rPr>
          <w:rFonts w:ascii="Century Gothic" w:hAnsi="Century Gothic" w:cs="Arial"/>
          <w:color w:val="000000"/>
          <w:sz w:val="20"/>
          <w:szCs w:val="20"/>
        </w:rPr>
        <w:t>atividades agrossilvipastoris, de ecoturismo e de turismo rural (art. 61-A).</w:t>
      </w:r>
    </w:p>
    <w:p w14:paraId="36658BCF" w14:textId="77777777" w:rsidR="00D414DA" w:rsidRDefault="00D414DA" w:rsidP="00C9650C">
      <w:pPr>
        <w:spacing w:after="0" w:line="360" w:lineRule="auto"/>
        <w:ind w:firstLine="1701"/>
        <w:jc w:val="both"/>
        <w:rPr>
          <w:rFonts w:ascii="Century Gothic" w:hAnsi="Century Gothic" w:cs="Arial"/>
          <w:color w:val="000000"/>
          <w:sz w:val="20"/>
          <w:szCs w:val="20"/>
        </w:rPr>
      </w:pPr>
    </w:p>
    <w:p w14:paraId="6E55C5C8" w14:textId="70B1562B" w:rsidR="004F5237" w:rsidRDefault="002D21D7" w:rsidP="00C9650C">
      <w:pPr>
        <w:spacing w:after="0" w:line="360" w:lineRule="auto"/>
        <w:ind w:firstLine="1701"/>
        <w:jc w:val="both"/>
        <w:rPr>
          <w:rFonts w:ascii="Century Gothic" w:hAnsi="Century Gothic" w:cs="Arial"/>
          <w:color w:val="000000"/>
          <w:sz w:val="20"/>
          <w:szCs w:val="20"/>
        </w:rPr>
      </w:pPr>
      <w:r w:rsidRPr="00D27944">
        <w:rPr>
          <w:rFonts w:ascii="Century Gothic" w:hAnsi="Century Gothic" w:cs="Arial"/>
          <w:color w:val="000000"/>
          <w:sz w:val="20"/>
          <w:szCs w:val="20"/>
        </w:rPr>
        <w:t xml:space="preserve">Além disso, a Lei nº 12.651/12 permite a regularização da ocupação em </w:t>
      </w:r>
      <w:r w:rsidR="00F711C6">
        <w:rPr>
          <w:rFonts w:ascii="Century Gothic" w:hAnsi="Century Gothic" w:cs="Arial"/>
          <w:color w:val="000000"/>
          <w:sz w:val="20"/>
          <w:szCs w:val="20"/>
        </w:rPr>
        <w:t>APP</w:t>
      </w:r>
      <w:r w:rsidRPr="00D27944">
        <w:rPr>
          <w:rFonts w:ascii="Century Gothic" w:hAnsi="Century Gothic" w:cs="Arial"/>
          <w:color w:val="000000"/>
          <w:sz w:val="20"/>
          <w:szCs w:val="20"/>
        </w:rPr>
        <w:t xml:space="preserve"> apenas em </w:t>
      </w:r>
      <w:r w:rsidR="007A6B16" w:rsidRPr="00D27944">
        <w:rPr>
          <w:rFonts w:ascii="Century Gothic" w:hAnsi="Century Gothic" w:cs="Arial"/>
          <w:color w:val="000000"/>
          <w:sz w:val="20"/>
          <w:szCs w:val="20"/>
        </w:rPr>
        <w:t>“</w:t>
      </w:r>
      <w:r w:rsidR="007A6B16" w:rsidRPr="00F400A1">
        <w:rPr>
          <w:rFonts w:ascii="Century Gothic" w:hAnsi="Century Gothic" w:cs="Arial"/>
          <w:color w:val="000000"/>
          <w:sz w:val="20"/>
          <w:szCs w:val="20"/>
          <w:u w:val="single"/>
        </w:rPr>
        <w:t>áreas urbanas consolidadas</w:t>
      </w:r>
      <w:r w:rsidR="007A6B16" w:rsidRPr="00D27944">
        <w:rPr>
          <w:rFonts w:ascii="Century Gothic" w:hAnsi="Century Gothic" w:cs="Arial"/>
          <w:color w:val="000000"/>
          <w:sz w:val="20"/>
          <w:szCs w:val="20"/>
        </w:rPr>
        <w:t>”</w:t>
      </w:r>
      <w:r w:rsidRPr="00D27944">
        <w:rPr>
          <w:rFonts w:ascii="Century Gothic" w:hAnsi="Century Gothic" w:cs="Arial"/>
          <w:color w:val="000000"/>
          <w:sz w:val="20"/>
          <w:szCs w:val="20"/>
        </w:rPr>
        <w:t>, que encontra definição nessa mesma lei (art. 3º, XXVI)</w:t>
      </w:r>
      <w:r w:rsidR="0036058D" w:rsidRPr="00D27944">
        <w:rPr>
          <w:rFonts w:ascii="Century Gothic" w:hAnsi="Century Gothic" w:cs="Arial"/>
          <w:color w:val="000000"/>
          <w:sz w:val="20"/>
          <w:szCs w:val="20"/>
        </w:rPr>
        <w:t xml:space="preserve">, a qual remete, por seu turno, à definição existente na Lei nº 11.977/09, que foi revogada pela Medida Provisória nessa parte. Portanto, a falta de técnica legislativa deixou </w:t>
      </w:r>
      <w:r w:rsidR="0036058D" w:rsidRPr="00F400A1">
        <w:rPr>
          <w:rFonts w:ascii="Century Gothic" w:hAnsi="Century Gothic" w:cs="Arial"/>
          <w:color w:val="000000"/>
          <w:sz w:val="20"/>
          <w:szCs w:val="20"/>
          <w:u w:val="single"/>
        </w:rPr>
        <w:t>sem objeto</w:t>
      </w:r>
      <w:r w:rsidR="0036058D" w:rsidRPr="00D27944">
        <w:rPr>
          <w:rFonts w:ascii="Century Gothic" w:hAnsi="Century Gothic" w:cs="Arial"/>
          <w:color w:val="000000"/>
          <w:sz w:val="20"/>
          <w:szCs w:val="20"/>
        </w:rPr>
        <w:t xml:space="preserve"> o disposto nos arts. 64 e 65 </w:t>
      </w:r>
      <w:r w:rsidR="0036058D" w:rsidRPr="00D27944">
        <w:rPr>
          <w:rFonts w:ascii="Century Gothic" w:hAnsi="Century Gothic" w:cs="Arial"/>
          <w:color w:val="000000"/>
          <w:sz w:val="20"/>
          <w:szCs w:val="20"/>
        </w:rPr>
        <w:lastRenderedPageBreak/>
        <w:t xml:space="preserve">da Lei nº 12.651/12, impossibilitando a consolidação da ocupação em </w:t>
      </w:r>
      <w:r w:rsidR="00756414">
        <w:rPr>
          <w:rFonts w:ascii="Century Gothic" w:hAnsi="Century Gothic" w:cs="Arial"/>
          <w:color w:val="000000"/>
          <w:sz w:val="20"/>
          <w:szCs w:val="20"/>
        </w:rPr>
        <w:t>APP</w:t>
      </w:r>
      <w:r w:rsidR="0036058D" w:rsidRPr="00D27944">
        <w:rPr>
          <w:rFonts w:ascii="Century Gothic" w:hAnsi="Century Gothic" w:cs="Arial"/>
          <w:color w:val="000000"/>
          <w:sz w:val="20"/>
          <w:szCs w:val="20"/>
        </w:rPr>
        <w:t xml:space="preserve"> prevista no art. 9º, §3º, da MP nº 759/2016.</w:t>
      </w:r>
      <w:r w:rsidR="007A6B16" w:rsidRPr="00D27944">
        <w:rPr>
          <w:rStyle w:val="Refdenotaderodap"/>
          <w:rFonts w:ascii="Century Gothic" w:hAnsi="Century Gothic" w:cs="Arial"/>
          <w:color w:val="000000"/>
          <w:sz w:val="20"/>
          <w:szCs w:val="20"/>
        </w:rPr>
        <w:footnoteReference w:id="15"/>
      </w:r>
      <w:r w:rsidR="007A6B16" w:rsidRPr="00D27944">
        <w:rPr>
          <w:rFonts w:ascii="Century Gothic" w:hAnsi="Century Gothic" w:cs="Arial"/>
          <w:color w:val="000000"/>
          <w:sz w:val="20"/>
          <w:szCs w:val="20"/>
        </w:rPr>
        <w:t xml:space="preserve"> </w:t>
      </w:r>
    </w:p>
    <w:p w14:paraId="43BF9206" w14:textId="77777777" w:rsidR="00D414DA" w:rsidRPr="00D27944" w:rsidRDefault="00D414DA" w:rsidP="00C9650C">
      <w:pPr>
        <w:spacing w:after="0" w:line="360" w:lineRule="auto"/>
        <w:ind w:firstLine="1701"/>
        <w:jc w:val="both"/>
        <w:rPr>
          <w:rFonts w:ascii="Century Gothic" w:hAnsi="Century Gothic" w:cs="Arial"/>
          <w:color w:val="000000"/>
          <w:sz w:val="20"/>
          <w:szCs w:val="20"/>
        </w:rPr>
      </w:pPr>
    </w:p>
    <w:p w14:paraId="3AE1423B" w14:textId="14DB74A2" w:rsidR="0036058D" w:rsidRDefault="0036058D" w:rsidP="00C9650C">
      <w:pPr>
        <w:spacing w:after="0" w:line="360" w:lineRule="auto"/>
        <w:ind w:firstLine="1701"/>
        <w:jc w:val="both"/>
        <w:rPr>
          <w:rFonts w:ascii="Century Gothic" w:hAnsi="Century Gothic" w:cs="Arial"/>
          <w:color w:val="000000"/>
          <w:sz w:val="20"/>
          <w:szCs w:val="20"/>
        </w:rPr>
      </w:pPr>
      <w:r w:rsidRPr="00D27944">
        <w:rPr>
          <w:rFonts w:ascii="Century Gothic" w:hAnsi="Century Gothic" w:cs="Arial"/>
          <w:color w:val="000000"/>
          <w:sz w:val="20"/>
          <w:szCs w:val="20"/>
        </w:rPr>
        <w:t xml:space="preserve">Também deve ser apontado o aumento do </w:t>
      </w:r>
      <w:r w:rsidRPr="00F400A1">
        <w:rPr>
          <w:rFonts w:ascii="Century Gothic" w:hAnsi="Century Gothic" w:cs="Arial"/>
          <w:color w:val="000000"/>
          <w:sz w:val="20"/>
          <w:szCs w:val="20"/>
          <w:u w:val="single"/>
        </w:rPr>
        <w:t>marco temporal</w:t>
      </w:r>
      <w:r w:rsidRPr="00D27944">
        <w:rPr>
          <w:rFonts w:ascii="Century Gothic" w:hAnsi="Century Gothic" w:cs="Arial"/>
          <w:color w:val="000000"/>
          <w:sz w:val="20"/>
          <w:szCs w:val="20"/>
        </w:rPr>
        <w:t xml:space="preserve"> permissivo à consolidação da ocupação da </w:t>
      </w:r>
      <w:r w:rsidR="00756414">
        <w:rPr>
          <w:rFonts w:ascii="Century Gothic" w:hAnsi="Century Gothic" w:cs="Arial"/>
          <w:color w:val="000000"/>
          <w:sz w:val="20"/>
          <w:szCs w:val="20"/>
        </w:rPr>
        <w:t>APP</w:t>
      </w:r>
      <w:r w:rsidRPr="00D27944">
        <w:rPr>
          <w:rFonts w:ascii="Century Gothic" w:hAnsi="Century Gothic" w:cs="Arial"/>
          <w:color w:val="000000"/>
          <w:sz w:val="20"/>
          <w:szCs w:val="20"/>
        </w:rPr>
        <w:t>. Se na Lei nº 11.977/09 esse marco era 31 de dezembro de 2007 (art. 54, §1º), a MP nº 759/</w:t>
      </w:r>
      <w:r w:rsidR="00756414">
        <w:rPr>
          <w:rFonts w:ascii="Century Gothic" w:hAnsi="Century Gothic" w:cs="Arial"/>
          <w:color w:val="000000"/>
          <w:sz w:val="20"/>
          <w:szCs w:val="20"/>
        </w:rPr>
        <w:t>2016 aparentemente estendeu o</w:t>
      </w:r>
      <w:r w:rsidRPr="00D27944">
        <w:rPr>
          <w:rFonts w:ascii="Century Gothic" w:hAnsi="Century Gothic" w:cs="Arial"/>
          <w:color w:val="000000"/>
          <w:sz w:val="20"/>
          <w:szCs w:val="20"/>
        </w:rPr>
        <w:t xml:space="preserve"> prazo de modo indefinido, o que pode levar a futuros questionamentos acerca da </w:t>
      </w:r>
      <w:r w:rsidRPr="00F400A1">
        <w:rPr>
          <w:rFonts w:ascii="Century Gothic" w:hAnsi="Century Gothic" w:cs="Arial"/>
          <w:color w:val="000000"/>
          <w:sz w:val="20"/>
          <w:szCs w:val="20"/>
          <w:u w:val="single"/>
        </w:rPr>
        <w:t>constit</w:t>
      </w:r>
      <w:r w:rsidR="00756414" w:rsidRPr="00F400A1">
        <w:rPr>
          <w:rFonts w:ascii="Century Gothic" w:hAnsi="Century Gothic" w:cs="Arial"/>
          <w:color w:val="000000"/>
          <w:sz w:val="20"/>
          <w:szCs w:val="20"/>
          <w:u w:val="single"/>
        </w:rPr>
        <w:t>ucionalidade</w:t>
      </w:r>
      <w:r w:rsidR="00756414">
        <w:rPr>
          <w:rFonts w:ascii="Century Gothic" w:hAnsi="Century Gothic" w:cs="Arial"/>
          <w:color w:val="000000"/>
          <w:sz w:val="20"/>
          <w:szCs w:val="20"/>
        </w:rPr>
        <w:t xml:space="preserve"> da previsão, por afronta</w:t>
      </w:r>
      <w:r w:rsidRPr="00D27944">
        <w:rPr>
          <w:rFonts w:ascii="Century Gothic" w:hAnsi="Century Gothic" w:cs="Arial"/>
          <w:color w:val="000000"/>
          <w:sz w:val="20"/>
          <w:szCs w:val="20"/>
        </w:rPr>
        <w:t xml:space="preserve"> </w:t>
      </w:r>
      <w:r w:rsidR="00756414">
        <w:rPr>
          <w:rFonts w:ascii="Century Gothic" w:hAnsi="Century Gothic" w:cs="Arial"/>
          <w:color w:val="000000"/>
          <w:sz w:val="20"/>
          <w:szCs w:val="20"/>
        </w:rPr>
        <w:t>a</w:t>
      </w:r>
      <w:r w:rsidRPr="00D27944">
        <w:rPr>
          <w:rFonts w:ascii="Century Gothic" w:hAnsi="Century Gothic" w:cs="Arial"/>
          <w:color w:val="000000"/>
          <w:sz w:val="20"/>
          <w:szCs w:val="20"/>
        </w:rPr>
        <w:t>o princípio da proibição do retrocesso. A possibilidade de arguição de inconstitucionalidade é motivo de insegurança jurídica a impedir a aplicação plena da nova legislação.</w:t>
      </w:r>
      <w:r w:rsidR="00231F72">
        <w:rPr>
          <w:rFonts w:ascii="Century Gothic" w:hAnsi="Century Gothic" w:cs="Arial"/>
          <w:color w:val="000000"/>
          <w:sz w:val="20"/>
          <w:szCs w:val="20"/>
        </w:rPr>
        <w:t xml:space="preserve"> Ademais, a própria Lei nº 12.651/12, no art. 8ª, §4º, dispôs que “não haverá, em qualquer hipótese, direito à regularização de futuras intervenções ou supressões de vegetação nativa, além das previstas nesta Lei”.</w:t>
      </w:r>
    </w:p>
    <w:p w14:paraId="7A9A8489" w14:textId="77777777" w:rsidR="00D414DA" w:rsidRPr="00D27944" w:rsidRDefault="00D414DA" w:rsidP="00C9650C">
      <w:pPr>
        <w:spacing w:after="0" w:line="360" w:lineRule="auto"/>
        <w:ind w:firstLine="1701"/>
        <w:jc w:val="both"/>
        <w:rPr>
          <w:rFonts w:ascii="Century Gothic" w:hAnsi="Century Gothic" w:cs="Arial"/>
          <w:color w:val="000000"/>
          <w:sz w:val="20"/>
          <w:szCs w:val="20"/>
        </w:rPr>
      </w:pPr>
    </w:p>
    <w:p w14:paraId="763634CF" w14:textId="401207E8" w:rsidR="0036058D" w:rsidRDefault="0036058D" w:rsidP="00C9650C">
      <w:pPr>
        <w:spacing w:after="0" w:line="360" w:lineRule="auto"/>
        <w:ind w:firstLine="1701"/>
        <w:jc w:val="both"/>
        <w:rPr>
          <w:rFonts w:ascii="Century Gothic" w:hAnsi="Century Gothic" w:cs="Arial"/>
          <w:color w:val="000000"/>
          <w:sz w:val="20"/>
          <w:szCs w:val="20"/>
        </w:rPr>
      </w:pPr>
      <w:r w:rsidRPr="00D27944">
        <w:rPr>
          <w:rFonts w:ascii="Century Gothic" w:hAnsi="Century Gothic" w:cs="Arial"/>
          <w:color w:val="000000"/>
          <w:sz w:val="20"/>
          <w:szCs w:val="20"/>
        </w:rPr>
        <w:t xml:space="preserve">A Medida Provisória ainda utiliza o parâmetro </w:t>
      </w:r>
      <w:r w:rsidR="00756414">
        <w:rPr>
          <w:rFonts w:ascii="Century Gothic" w:hAnsi="Century Gothic" w:cs="Arial"/>
          <w:color w:val="000000"/>
          <w:sz w:val="20"/>
          <w:szCs w:val="20"/>
        </w:rPr>
        <w:t>do art. 62 da</w:t>
      </w:r>
      <w:r w:rsidRPr="00D27944">
        <w:rPr>
          <w:rFonts w:ascii="Century Gothic" w:hAnsi="Century Gothic" w:cs="Arial"/>
          <w:color w:val="000000"/>
          <w:sz w:val="20"/>
          <w:szCs w:val="20"/>
        </w:rPr>
        <w:t xml:space="preserve"> Lei nº 12.651/12 para definir a </w:t>
      </w:r>
      <w:r w:rsidR="00756414" w:rsidRPr="00F400A1">
        <w:rPr>
          <w:rFonts w:ascii="Century Gothic" w:hAnsi="Century Gothic" w:cs="Arial"/>
          <w:color w:val="000000"/>
          <w:sz w:val="20"/>
          <w:szCs w:val="20"/>
          <w:u w:val="single"/>
        </w:rPr>
        <w:t>APP</w:t>
      </w:r>
      <w:r w:rsidRPr="00F400A1">
        <w:rPr>
          <w:rFonts w:ascii="Century Gothic" w:hAnsi="Century Gothic" w:cs="Arial"/>
          <w:color w:val="000000"/>
          <w:sz w:val="20"/>
          <w:szCs w:val="20"/>
          <w:u w:val="single"/>
        </w:rPr>
        <w:t xml:space="preserve"> dos reservatórios</w:t>
      </w:r>
      <w:r w:rsidRPr="00D27944">
        <w:rPr>
          <w:rFonts w:ascii="Century Gothic" w:hAnsi="Century Gothic" w:cs="Arial"/>
          <w:color w:val="000000"/>
          <w:sz w:val="20"/>
          <w:szCs w:val="20"/>
        </w:rPr>
        <w:t xml:space="preserve"> artificiais de água destinados à geração de energia ou ao abastecimento público (art. 9º, §4º).</w:t>
      </w:r>
      <w:r w:rsidR="00756414">
        <w:rPr>
          <w:rStyle w:val="Refdenotaderodap"/>
          <w:rFonts w:ascii="Century Gothic" w:hAnsi="Century Gothic" w:cs="Arial"/>
          <w:color w:val="000000"/>
          <w:sz w:val="20"/>
          <w:szCs w:val="20"/>
        </w:rPr>
        <w:footnoteReference w:id="16"/>
      </w:r>
      <w:r w:rsidRPr="00D27944">
        <w:rPr>
          <w:rFonts w:ascii="Century Gothic" w:hAnsi="Century Gothic" w:cs="Arial"/>
          <w:color w:val="000000"/>
          <w:sz w:val="20"/>
          <w:szCs w:val="20"/>
        </w:rPr>
        <w:t xml:space="preserve"> Lembre-se que o dispositivo idêntico existente na Lei nº 12.651/12 é objeto de arguição de </w:t>
      </w:r>
      <w:r w:rsidRPr="00F400A1">
        <w:rPr>
          <w:rFonts w:ascii="Century Gothic" w:hAnsi="Century Gothic" w:cs="Arial"/>
          <w:color w:val="000000"/>
          <w:sz w:val="20"/>
          <w:szCs w:val="20"/>
          <w:u w:val="single"/>
        </w:rPr>
        <w:t>inconstitucionalidade</w:t>
      </w:r>
      <w:r w:rsidRPr="00D27944">
        <w:rPr>
          <w:rFonts w:ascii="Century Gothic" w:hAnsi="Century Gothic" w:cs="Arial"/>
          <w:color w:val="000000"/>
          <w:sz w:val="20"/>
          <w:szCs w:val="20"/>
        </w:rPr>
        <w:t xml:space="preserve"> (ADIN nº 4.903, em trâmite no Supremo Tribunal Federal), sendo mais um elemento de instabilidade jurídica a dificultar a aplicação plena da nova legislação.</w:t>
      </w:r>
    </w:p>
    <w:p w14:paraId="6202B7C7" w14:textId="77777777" w:rsidR="00D414DA" w:rsidRDefault="00D414DA" w:rsidP="00C9650C">
      <w:pPr>
        <w:spacing w:after="0" w:line="360" w:lineRule="auto"/>
        <w:ind w:firstLine="1701"/>
        <w:jc w:val="both"/>
        <w:rPr>
          <w:rFonts w:ascii="Century Gothic" w:hAnsi="Century Gothic" w:cs="Arial"/>
          <w:color w:val="000000"/>
          <w:sz w:val="20"/>
          <w:szCs w:val="20"/>
        </w:rPr>
      </w:pPr>
    </w:p>
    <w:p w14:paraId="259DCACE" w14:textId="02095CEB" w:rsidR="00231F72" w:rsidRPr="00D27944" w:rsidRDefault="00231F72" w:rsidP="00C9650C">
      <w:pPr>
        <w:spacing w:after="0" w:line="360" w:lineRule="auto"/>
        <w:ind w:firstLine="1701"/>
        <w:jc w:val="both"/>
        <w:rPr>
          <w:rFonts w:ascii="Century Gothic" w:hAnsi="Century Gothic" w:cs="Arial"/>
          <w:color w:val="000000"/>
          <w:sz w:val="20"/>
          <w:szCs w:val="20"/>
        </w:rPr>
      </w:pPr>
      <w:r>
        <w:rPr>
          <w:rFonts w:ascii="Century Gothic" w:hAnsi="Century Gothic" w:cs="Arial"/>
          <w:color w:val="000000"/>
          <w:sz w:val="20"/>
          <w:szCs w:val="20"/>
        </w:rPr>
        <w:t>Finalmente, a MP nº 759/2016 permite a aplicação dos critérios fleixbilizadores à legislação ambiental aos procedimentos de regularização fundiária em andamento antes da edição da Medida Provisória</w:t>
      </w:r>
      <w:r>
        <w:rPr>
          <w:rStyle w:val="Refdenotaderodap"/>
          <w:rFonts w:ascii="Century Gothic" w:hAnsi="Century Gothic" w:cs="Arial"/>
          <w:color w:val="000000"/>
          <w:sz w:val="20"/>
          <w:szCs w:val="20"/>
        </w:rPr>
        <w:footnoteReference w:id="17"/>
      </w:r>
      <w:r>
        <w:rPr>
          <w:rFonts w:ascii="Century Gothic" w:hAnsi="Century Gothic" w:cs="Arial"/>
          <w:color w:val="000000"/>
          <w:sz w:val="20"/>
          <w:szCs w:val="20"/>
        </w:rPr>
        <w:t xml:space="preserve">, remetendo a dispositivos da Lei nº 12.651/12 objeto de arguição de inconstitucionalidade (ADIN nº 4.903, em trâmite no Supremo Tribunal Federal), suscitando insegurança jurídica. </w:t>
      </w:r>
    </w:p>
    <w:p w14:paraId="6727107B" w14:textId="60B033CB" w:rsidR="007A6B16" w:rsidRPr="00D27944" w:rsidRDefault="007A6B16" w:rsidP="008A2EC0">
      <w:pPr>
        <w:spacing w:after="0" w:line="360" w:lineRule="auto"/>
        <w:jc w:val="both"/>
        <w:rPr>
          <w:rFonts w:ascii="Century Gothic" w:hAnsi="Century Gothic" w:cs="Arial"/>
          <w:color w:val="000000"/>
          <w:sz w:val="20"/>
          <w:szCs w:val="20"/>
        </w:rPr>
      </w:pPr>
    </w:p>
    <w:p w14:paraId="62BFEF46" w14:textId="22DA4585" w:rsidR="007A6B16" w:rsidRPr="00226A81" w:rsidRDefault="007A6B16" w:rsidP="00226A81">
      <w:pPr>
        <w:pStyle w:val="PargrafodaLista"/>
        <w:numPr>
          <w:ilvl w:val="0"/>
          <w:numId w:val="2"/>
        </w:numPr>
        <w:spacing w:after="0" w:line="360" w:lineRule="auto"/>
        <w:jc w:val="both"/>
        <w:rPr>
          <w:rFonts w:ascii="Century Gothic" w:hAnsi="Century Gothic" w:cs="Arial"/>
          <w:b/>
          <w:color w:val="000000"/>
          <w:sz w:val="20"/>
          <w:szCs w:val="20"/>
        </w:rPr>
      </w:pPr>
      <w:r w:rsidRPr="00226A81">
        <w:rPr>
          <w:rFonts w:ascii="Century Gothic" w:hAnsi="Century Gothic" w:cs="Arial"/>
          <w:b/>
          <w:color w:val="000000"/>
          <w:sz w:val="20"/>
          <w:szCs w:val="20"/>
        </w:rPr>
        <w:lastRenderedPageBreak/>
        <w:t>DA DEFINIÇÃO DE INFRAESTRUTURA ESSENCIAL</w:t>
      </w:r>
    </w:p>
    <w:p w14:paraId="255925C6" w14:textId="77777777" w:rsidR="00384783" w:rsidRDefault="00384783" w:rsidP="00C9650C">
      <w:pPr>
        <w:pStyle w:val="Textodenotaderodap"/>
        <w:spacing w:line="360" w:lineRule="auto"/>
        <w:ind w:firstLine="1701"/>
        <w:jc w:val="both"/>
        <w:rPr>
          <w:rFonts w:ascii="Century Gothic" w:hAnsi="Century Gothic"/>
        </w:rPr>
      </w:pPr>
    </w:p>
    <w:p w14:paraId="5C36738D" w14:textId="2FFBCDE7" w:rsidR="00756414" w:rsidRDefault="007A6B16" w:rsidP="00C9650C">
      <w:pPr>
        <w:pStyle w:val="Textodenotaderodap"/>
        <w:spacing w:line="360" w:lineRule="auto"/>
        <w:ind w:firstLine="1701"/>
        <w:jc w:val="both"/>
        <w:rPr>
          <w:rFonts w:ascii="Century Gothic" w:hAnsi="Century Gothic"/>
        </w:rPr>
      </w:pPr>
      <w:r w:rsidRPr="00D27944">
        <w:rPr>
          <w:rFonts w:ascii="Century Gothic" w:hAnsi="Century Gothic"/>
        </w:rPr>
        <w:t xml:space="preserve">A </w:t>
      </w:r>
      <w:r w:rsidR="00756414">
        <w:rPr>
          <w:rFonts w:ascii="Century Gothic" w:hAnsi="Century Gothic"/>
        </w:rPr>
        <w:t>MP nº 759/2016</w:t>
      </w:r>
      <w:r w:rsidRPr="00D27944">
        <w:rPr>
          <w:rFonts w:ascii="Century Gothic" w:hAnsi="Century Gothic"/>
        </w:rPr>
        <w:t xml:space="preserve"> refere-se à expressão “</w:t>
      </w:r>
      <w:r w:rsidRPr="00F400A1">
        <w:rPr>
          <w:rFonts w:ascii="Century Gothic" w:hAnsi="Century Gothic"/>
          <w:u w:val="single"/>
        </w:rPr>
        <w:t>infraestrutura essencial</w:t>
      </w:r>
      <w:r w:rsidRPr="00D27944">
        <w:rPr>
          <w:rFonts w:ascii="Century Gothic" w:hAnsi="Century Gothic"/>
        </w:rPr>
        <w:t>”</w:t>
      </w:r>
      <w:r w:rsidR="00756414">
        <w:rPr>
          <w:rStyle w:val="Refdenotaderodap"/>
          <w:rFonts w:ascii="Century Gothic" w:hAnsi="Century Gothic"/>
        </w:rPr>
        <w:footnoteReference w:id="18"/>
      </w:r>
      <w:r w:rsidRPr="00D27944">
        <w:rPr>
          <w:rFonts w:ascii="Century Gothic" w:hAnsi="Century Gothic"/>
        </w:rPr>
        <w:t xml:space="preserve">, que </w:t>
      </w:r>
      <w:r w:rsidRPr="00F400A1">
        <w:rPr>
          <w:rFonts w:ascii="Century Gothic" w:hAnsi="Century Gothic"/>
          <w:u w:val="single"/>
        </w:rPr>
        <w:t>não é conhecida</w:t>
      </w:r>
      <w:r w:rsidRPr="00D27944">
        <w:rPr>
          <w:rFonts w:ascii="Century Gothic" w:hAnsi="Century Gothic"/>
        </w:rPr>
        <w:t xml:space="preserve"> de nosso ordenamento jurídico. Encontramos a definição de “</w:t>
      </w:r>
      <w:r w:rsidRPr="00F400A1">
        <w:rPr>
          <w:rFonts w:ascii="Century Gothic" w:hAnsi="Century Gothic"/>
          <w:u w:val="single"/>
        </w:rPr>
        <w:t>infraestrutura básica</w:t>
      </w:r>
      <w:r w:rsidRPr="00D27944">
        <w:rPr>
          <w:rFonts w:ascii="Century Gothic" w:hAnsi="Century Gothic"/>
        </w:rPr>
        <w:t xml:space="preserve">” no art. 2º, §5º, da Lei nº 6.766/79: </w:t>
      </w:r>
      <w:r w:rsidRPr="00D27944">
        <w:rPr>
          <w:rFonts w:ascii="Century Gothic" w:hAnsi="Century Gothic" w:cs="Arial"/>
        </w:rPr>
        <w:t xml:space="preserve">equipamentos urbanos de escoamento das águas pluviais, iluminação pública, esgotamento sanitário, abastecimento de água potável, energia elétrica pública e domiciliar e vias de circulação. Para o caso doa assentamentos de interesse social, essa infraestrutura é composta por: </w:t>
      </w:r>
      <w:r w:rsidRPr="00D27944">
        <w:rPr>
          <w:rFonts w:ascii="Century Gothic" w:hAnsi="Century Gothic"/>
        </w:rPr>
        <w:t xml:space="preserve">vias de circulação, escoamento das águas pluviais, rede para abastecimento de água potável, soluções para o esgotamento sanitário e para a energia elétrica domiciliar (art. 2º, §6º, da Lei nº 6.766/79). </w:t>
      </w:r>
    </w:p>
    <w:p w14:paraId="7AA99447" w14:textId="77777777" w:rsidR="00D414DA" w:rsidRDefault="00D414DA" w:rsidP="00C9650C">
      <w:pPr>
        <w:pStyle w:val="Textodenotaderodap"/>
        <w:spacing w:line="360" w:lineRule="auto"/>
        <w:ind w:firstLine="1701"/>
        <w:jc w:val="both"/>
        <w:rPr>
          <w:rFonts w:ascii="Century Gothic" w:hAnsi="Century Gothic"/>
        </w:rPr>
      </w:pPr>
    </w:p>
    <w:p w14:paraId="5DD9205E" w14:textId="56AA6572" w:rsidR="007A6B16" w:rsidRPr="00D27944" w:rsidRDefault="007A6B16" w:rsidP="00C9650C">
      <w:pPr>
        <w:pStyle w:val="Textodenotaderodap"/>
        <w:spacing w:line="360" w:lineRule="auto"/>
        <w:ind w:firstLine="1701"/>
        <w:jc w:val="both"/>
        <w:rPr>
          <w:rFonts w:ascii="Century Gothic" w:hAnsi="Century Gothic"/>
        </w:rPr>
      </w:pPr>
      <w:r w:rsidRPr="00D27944">
        <w:rPr>
          <w:rFonts w:ascii="Century Gothic" w:hAnsi="Century Gothic"/>
        </w:rPr>
        <w:t>Portanto, a MP nº 759/2016 deve primar por melhor técnica legislativa, seja para definir o que compreende por “infraestrutu</w:t>
      </w:r>
      <w:r w:rsidR="00F711C6">
        <w:rPr>
          <w:rFonts w:ascii="Century Gothic" w:hAnsi="Century Gothic"/>
        </w:rPr>
        <w:t>ra essencial”, seja para adequá-la</w:t>
      </w:r>
      <w:r w:rsidRPr="00D27944">
        <w:rPr>
          <w:rFonts w:ascii="Century Gothic" w:hAnsi="Century Gothic"/>
        </w:rPr>
        <w:t xml:space="preserve"> à definição de “infraestrutura básica” já existente no ordenamento jurídico. Saliente-se, de qualquer forma, que se o intento for estabelecer requisitos mais flexíveis para a infraestrutura, pode haver questionamentos acerca da constitucionalidade (princípio da proibição do retrocesso social) se não houver justificativa cabal para a mudança.</w:t>
      </w:r>
    </w:p>
    <w:p w14:paraId="66A6E888" w14:textId="2C33906F" w:rsidR="00BD138F" w:rsidRPr="00D27944" w:rsidRDefault="00BD138F" w:rsidP="00C9650C">
      <w:pPr>
        <w:pStyle w:val="Textodenotaderodap"/>
        <w:spacing w:line="360" w:lineRule="auto"/>
        <w:ind w:firstLine="1701"/>
        <w:jc w:val="both"/>
        <w:rPr>
          <w:rFonts w:ascii="Century Gothic" w:hAnsi="Century Gothic"/>
        </w:rPr>
      </w:pPr>
    </w:p>
    <w:p w14:paraId="5138C2CC" w14:textId="120A2CC8" w:rsidR="00BD138F" w:rsidRPr="00D27944" w:rsidRDefault="00BD138F" w:rsidP="00226A81">
      <w:pPr>
        <w:pStyle w:val="Textodenotaderodap"/>
        <w:numPr>
          <w:ilvl w:val="0"/>
          <w:numId w:val="2"/>
        </w:numPr>
        <w:spacing w:line="360" w:lineRule="auto"/>
        <w:jc w:val="both"/>
        <w:rPr>
          <w:rFonts w:ascii="Century Gothic" w:hAnsi="Century Gothic"/>
          <w:b/>
        </w:rPr>
      </w:pPr>
      <w:r w:rsidRPr="00D27944">
        <w:rPr>
          <w:rFonts w:ascii="Century Gothic" w:hAnsi="Century Gothic"/>
          <w:b/>
        </w:rPr>
        <w:t>DA LEGITIMAÇÃO FUNDIÁRIA</w:t>
      </w:r>
    </w:p>
    <w:p w14:paraId="32D5B301" w14:textId="77777777" w:rsidR="00384783" w:rsidRDefault="00384783" w:rsidP="00C9650C">
      <w:pPr>
        <w:pStyle w:val="Textodenotaderodap"/>
        <w:spacing w:line="360" w:lineRule="auto"/>
        <w:ind w:firstLine="1701"/>
        <w:jc w:val="both"/>
        <w:rPr>
          <w:rFonts w:ascii="Century Gothic" w:hAnsi="Century Gothic"/>
        </w:rPr>
      </w:pPr>
    </w:p>
    <w:p w14:paraId="7CE68DAE" w14:textId="4B410A6D" w:rsidR="009B571A" w:rsidRPr="00D27944" w:rsidRDefault="00756414" w:rsidP="00C9650C">
      <w:pPr>
        <w:pStyle w:val="Textodenotaderodap"/>
        <w:spacing w:line="360" w:lineRule="auto"/>
        <w:ind w:firstLine="1701"/>
        <w:jc w:val="both"/>
        <w:rPr>
          <w:rFonts w:ascii="Century Gothic" w:hAnsi="Century Gothic"/>
        </w:rPr>
      </w:pPr>
      <w:r>
        <w:rPr>
          <w:rFonts w:ascii="Century Gothic" w:hAnsi="Century Gothic"/>
        </w:rPr>
        <w:t xml:space="preserve">Nos termos do art. 21, </w:t>
      </w:r>
      <w:r w:rsidRPr="00756414">
        <w:rPr>
          <w:rFonts w:ascii="Century Gothic" w:hAnsi="Century Gothic"/>
          <w:i/>
        </w:rPr>
        <w:t>caput</w:t>
      </w:r>
      <w:r>
        <w:rPr>
          <w:rFonts w:ascii="Century Gothic" w:hAnsi="Century Gothic"/>
        </w:rPr>
        <w:t xml:space="preserve"> da</w:t>
      </w:r>
      <w:r w:rsidR="00F400A1">
        <w:rPr>
          <w:rFonts w:ascii="Century Gothic" w:hAnsi="Century Gothic"/>
        </w:rPr>
        <w:t xml:space="preserve"> MP nº 759/2016, “</w:t>
      </w:r>
      <w:r w:rsidR="009B571A" w:rsidRPr="00D27944">
        <w:rPr>
          <w:rFonts w:ascii="Century Gothic" w:hAnsi="Century Gothic" w:cs="Arial"/>
          <w:color w:val="000000"/>
        </w:rPr>
        <w:t>A legitimação fundiária constitui forma originária de aquisição do direito real de propriedade, conferido por ato discricionário do Poder Público àquele que detiver área pública ou possuir área privada, como sua, unidade imobiliária com destinação urbana, integrante de núcleo urbano informal consolidado”.</w:t>
      </w:r>
      <w:r w:rsidR="009B571A" w:rsidRPr="00D27944">
        <w:rPr>
          <w:rStyle w:val="apple-converted-space"/>
          <w:rFonts w:ascii="Century Gothic" w:hAnsi="Century Gothic" w:cs="Arial"/>
          <w:color w:val="000000"/>
        </w:rPr>
        <w:t> </w:t>
      </w:r>
      <w:r w:rsidR="009B571A" w:rsidRPr="00D27944">
        <w:rPr>
          <w:rFonts w:ascii="Century Gothic" w:hAnsi="Century Gothic"/>
        </w:rPr>
        <w:t xml:space="preserve"> </w:t>
      </w:r>
    </w:p>
    <w:p w14:paraId="3AF7E2A5" w14:textId="77777777" w:rsidR="00D414DA" w:rsidRDefault="00D414DA" w:rsidP="00C9650C">
      <w:pPr>
        <w:pStyle w:val="Textodenotaderodap"/>
        <w:spacing w:line="360" w:lineRule="auto"/>
        <w:ind w:firstLine="1701"/>
        <w:jc w:val="both"/>
        <w:rPr>
          <w:rFonts w:ascii="Century Gothic" w:hAnsi="Century Gothic"/>
        </w:rPr>
      </w:pPr>
    </w:p>
    <w:p w14:paraId="0BDCA983" w14:textId="2D547A29" w:rsidR="00583525" w:rsidRDefault="00583525" w:rsidP="00C9650C">
      <w:pPr>
        <w:pStyle w:val="Textodenotaderodap"/>
        <w:spacing w:line="360" w:lineRule="auto"/>
        <w:ind w:firstLine="1701"/>
        <w:jc w:val="both"/>
        <w:rPr>
          <w:rFonts w:ascii="Century Gothic" w:hAnsi="Century Gothic"/>
        </w:rPr>
      </w:pPr>
      <w:r w:rsidRPr="00D27944">
        <w:rPr>
          <w:rFonts w:ascii="Century Gothic" w:hAnsi="Century Gothic"/>
        </w:rPr>
        <w:t xml:space="preserve">Embora a Medida Provisória, aparentemente, permita a prática do ato tanto na regularização fundiária de interesse social quanto na de interesse específico, sua aplicação deveria se restringir à primeira, na medida em que se trata de aquisição de direito real a partir de ato do Poder Público, que deve </w:t>
      </w:r>
      <w:r w:rsidRPr="00F400A1">
        <w:rPr>
          <w:rFonts w:ascii="Century Gothic" w:hAnsi="Century Gothic"/>
          <w:u w:val="single"/>
        </w:rPr>
        <w:t>priorizar</w:t>
      </w:r>
      <w:r w:rsidRPr="00D27944">
        <w:rPr>
          <w:rFonts w:ascii="Century Gothic" w:hAnsi="Century Gothic"/>
        </w:rPr>
        <w:t xml:space="preserve"> o acesso à moradia pela população de baixa renda.</w:t>
      </w:r>
      <w:r w:rsidR="00756414" w:rsidRPr="00756414">
        <w:rPr>
          <w:rFonts w:ascii="Century Gothic" w:hAnsi="Century Gothic"/>
        </w:rPr>
        <w:t xml:space="preserve"> </w:t>
      </w:r>
      <w:r w:rsidR="00756414" w:rsidRPr="00D27944">
        <w:rPr>
          <w:rFonts w:ascii="Century Gothic" w:hAnsi="Century Gothic"/>
        </w:rPr>
        <w:t xml:space="preserve">Nesse sentido, a MP </w:t>
      </w:r>
      <w:r w:rsidR="00756414" w:rsidRPr="00D27944">
        <w:rPr>
          <w:rFonts w:ascii="Century Gothic" w:hAnsi="Century Gothic"/>
        </w:rPr>
        <w:lastRenderedPageBreak/>
        <w:t>nº 759/2016 concede autorização prévia e dispensa de licitação somente na hipótese de regularização fundiária de interesse social (art. 21, §5º).</w:t>
      </w:r>
      <w:r w:rsidR="00756414">
        <w:rPr>
          <w:rStyle w:val="Refdenotaderodap"/>
          <w:rFonts w:ascii="Century Gothic" w:hAnsi="Century Gothic"/>
        </w:rPr>
        <w:footnoteReference w:id="19"/>
      </w:r>
    </w:p>
    <w:p w14:paraId="052A6B4D" w14:textId="77777777" w:rsidR="00D414DA" w:rsidRPr="00D27944" w:rsidRDefault="00D414DA" w:rsidP="00C9650C">
      <w:pPr>
        <w:pStyle w:val="Textodenotaderodap"/>
        <w:spacing w:line="360" w:lineRule="auto"/>
        <w:ind w:firstLine="1701"/>
        <w:jc w:val="both"/>
        <w:rPr>
          <w:rFonts w:ascii="Century Gothic" w:hAnsi="Century Gothic"/>
        </w:rPr>
      </w:pPr>
    </w:p>
    <w:p w14:paraId="5908F23A" w14:textId="32481ADA" w:rsidR="00BD138F" w:rsidRPr="00D27944" w:rsidRDefault="00583525" w:rsidP="00C9650C">
      <w:pPr>
        <w:pStyle w:val="Textodenotaderodap"/>
        <w:spacing w:line="360" w:lineRule="auto"/>
        <w:ind w:firstLine="1701"/>
        <w:jc w:val="both"/>
        <w:rPr>
          <w:rFonts w:ascii="Century Gothic" w:hAnsi="Century Gothic"/>
        </w:rPr>
      </w:pPr>
      <w:r w:rsidRPr="00D27944">
        <w:rPr>
          <w:rFonts w:ascii="Century Gothic" w:hAnsi="Century Gothic"/>
        </w:rPr>
        <w:t>Além disso, a</w:t>
      </w:r>
      <w:r w:rsidR="009B571A" w:rsidRPr="00D27944">
        <w:rPr>
          <w:rFonts w:ascii="Century Gothic" w:hAnsi="Century Gothic"/>
        </w:rPr>
        <w:t xml:space="preserve"> nova figura da legitimação fundiária, capaz de gerar direito real, exige redação mais </w:t>
      </w:r>
      <w:r w:rsidR="009B571A" w:rsidRPr="00F400A1">
        <w:rPr>
          <w:rFonts w:ascii="Century Gothic" w:hAnsi="Century Gothic"/>
          <w:u w:val="single"/>
        </w:rPr>
        <w:t>precisa</w:t>
      </w:r>
      <w:r w:rsidR="009B571A" w:rsidRPr="00D27944">
        <w:rPr>
          <w:rFonts w:ascii="Century Gothic" w:hAnsi="Century Gothic"/>
        </w:rPr>
        <w:t xml:space="preserve">, para afastar possível arguição de </w:t>
      </w:r>
      <w:r w:rsidR="009B571A" w:rsidRPr="00F400A1">
        <w:rPr>
          <w:rFonts w:ascii="Century Gothic" w:hAnsi="Century Gothic"/>
          <w:u w:val="single"/>
        </w:rPr>
        <w:t>inconstitucionalidade</w:t>
      </w:r>
      <w:r w:rsidR="009B571A" w:rsidRPr="00D27944">
        <w:rPr>
          <w:rFonts w:ascii="Century Gothic" w:hAnsi="Century Gothic"/>
        </w:rPr>
        <w:t xml:space="preserve"> por violação ao direito de </w:t>
      </w:r>
      <w:r w:rsidR="009B571A" w:rsidRPr="00F400A1">
        <w:rPr>
          <w:rFonts w:ascii="Century Gothic" w:hAnsi="Century Gothic"/>
          <w:u w:val="single"/>
        </w:rPr>
        <w:t>propriedade</w:t>
      </w:r>
      <w:r w:rsidR="009B571A" w:rsidRPr="00D27944">
        <w:rPr>
          <w:rFonts w:ascii="Century Gothic" w:hAnsi="Century Gothic"/>
        </w:rPr>
        <w:t>, na medida em que, por ato do Poder Público, uma propriedade particular pode ser atribuída a terceiro ocupante da área.</w:t>
      </w:r>
      <w:r w:rsidRPr="00D27944">
        <w:rPr>
          <w:rFonts w:ascii="Century Gothic" w:hAnsi="Century Gothic"/>
        </w:rPr>
        <w:t xml:space="preserve"> </w:t>
      </w:r>
    </w:p>
    <w:p w14:paraId="355ACF6B" w14:textId="77777777" w:rsidR="00D414DA" w:rsidRDefault="00D414DA" w:rsidP="00C9650C">
      <w:pPr>
        <w:pStyle w:val="Textodenotaderodap"/>
        <w:spacing w:line="360" w:lineRule="auto"/>
        <w:ind w:firstLine="1701"/>
        <w:jc w:val="both"/>
        <w:rPr>
          <w:rFonts w:ascii="Century Gothic" w:hAnsi="Century Gothic"/>
        </w:rPr>
      </w:pPr>
    </w:p>
    <w:p w14:paraId="206838FA" w14:textId="38125D97" w:rsidR="007A6B16" w:rsidRPr="00D27944" w:rsidRDefault="009B571A" w:rsidP="00C9650C">
      <w:pPr>
        <w:pStyle w:val="Textodenotaderodap"/>
        <w:spacing w:line="360" w:lineRule="auto"/>
        <w:ind w:firstLine="1701"/>
        <w:jc w:val="both"/>
        <w:rPr>
          <w:rFonts w:ascii="Century Gothic" w:hAnsi="Century Gothic"/>
        </w:rPr>
      </w:pPr>
      <w:r w:rsidRPr="00D27944">
        <w:rPr>
          <w:rFonts w:ascii="Century Gothic" w:hAnsi="Century Gothic"/>
        </w:rPr>
        <w:t xml:space="preserve">No tocante à legitimação fundiária incidente sobre áreas públicas, não pode importar em burla à </w:t>
      </w:r>
      <w:r w:rsidRPr="00384783">
        <w:rPr>
          <w:rFonts w:ascii="Century Gothic" w:hAnsi="Century Gothic"/>
          <w:u w:val="single"/>
        </w:rPr>
        <w:t>proibição</w:t>
      </w:r>
      <w:r w:rsidRPr="00D27944">
        <w:rPr>
          <w:rFonts w:ascii="Century Gothic" w:hAnsi="Century Gothic"/>
        </w:rPr>
        <w:t xml:space="preserve"> constitucional de </w:t>
      </w:r>
      <w:r w:rsidRPr="00384783">
        <w:rPr>
          <w:rFonts w:ascii="Century Gothic" w:hAnsi="Century Gothic"/>
          <w:u w:val="single"/>
        </w:rPr>
        <w:t>usucapião sobre terras públicas</w:t>
      </w:r>
      <w:r w:rsidRPr="00D27944">
        <w:rPr>
          <w:rFonts w:ascii="Century Gothic" w:hAnsi="Century Gothic"/>
        </w:rPr>
        <w:t xml:space="preserve"> (art. 183, §3º</w:t>
      </w:r>
      <w:r w:rsidR="00583525" w:rsidRPr="00D27944">
        <w:rPr>
          <w:rFonts w:ascii="Century Gothic" w:hAnsi="Century Gothic"/>
        </w:rPr>
        <w:t>)</w:t>
      </w:r>
      <w:r w:rsidR="00D27944" w:rsidRPr="00D27944">
        <w:rPr>
          <w:rFonts w:ascii="Century Gothic" w:hAnsi="Century Gothic"/>
        </w:rPr>
        <w:t xml:space="preserve">, sendo imperiosa a discriminação de requisitos precisos para que haja a perfeita </w:t>
      </w:r>
      <w:r w:rsidR="00D27944" w:rsidRPr="00384783">
        <w:rPr>
          <w:rFonts w:ascii="Century Gothic" w:hAnsi="Century Gothic"/>
          <w:u w:val="single"/>
        </w:rPr>
        <w:t>separação</w:t>
      </w:r>
      <w:r w:rsidR="00D27944" w:rsidRPr="00D27944">
        <w:rPr>
          <w:rFonts w:ascii="Century Gothic" w:hAnsi="Century Gothic"/>
        </w:rPr>
        <w:t xml:space="preserve"> entre os institutos</w:t>
      </w:r>
      <w:r w:rsidR="00583525" w:rsidRPr="00D27944">
        <w:rPr>
          <w:rFonts w:ascii="Century Gothic" w:hAnsi="Century Gothic"/>
        </w:rPr>
        <w:t>.</w:t>
      </w:r>
    </w:p>
    <w:p w14:paraId="0E676541" w14:textId="77777777" w:rsidR="00D414DA" w:rsidRDefault="00D414DA" w:rsidP="00C9650C">
      <w:pPr>
        <w:pStyle w:val="Textodenotaderodap"/>
        <w:spacing w:line="360" w:lineRule="auto"/>
        <w:ind w:firstLine="1701"/>
        <w:jc w:val="both"/>
        <w:rPr>
          <w:rFonts w:ascii="Century Gothic" w:hAnsi="Century Gothic"/>
        </w:rPr>
      </w:pPr>
    </w:p>
    <w:p w14:paraId="339D44F8" w14:textId="259980FC" w:rsidR="00D27944" w:rsidRPr="00D27944" w:rsidRDefault="00D27944" w:rsidP="00C9650C">
      <w:pPr>
        <w:pStyle w:val="Textodenotaderodap"/>
        <w:spacing w:line="360" w:lineRule="auto"/>
        <w:ind w:firstLine="1701"/>
        <w:jc w:val="both"/>
        <w:rPr>
          <w:rFonts w:ascii="Century Gothic" w:hAnsi="Century Gothic"/>
        </w:rPr>
      </w:pPr>
      <w:r w:rsidRPr="00D27944">
        <w:rPr>
          <w:rFonts w:ascii="Century Gothic" w:hAnsi="Century Gothic"/>
        </w:rPr>
        <w:t xml:space="preserve">Finalmente, a consideração de que se trata de ato discricionário, embora pareça conferir maior liberdade ao administrador, não o dispensa de fundamentar a concessão ou a negativa do título com base no </w:t>
      </w:r>
      <w:r w:rsidRPr="00384783">
        <w:rPr>
          <w:rFonts w:ascii="Century Gothic" w:hAnsi="Century Gothic"/>
          <w:u w:val="single"/>
        </w:rPr>
        <w:t>interesse público</w:t>
      </w:r>
      <w:r w:rsidRPr="00D27944">
        <w:rPr>
          <w:rFonts w:ascii="Century Gothic" w:hAnsi="Century Gothic"/>
        </w:rPr>
        <w:t xml:space="preserve">. Na medida em que a MP nº 759/2016 não estabelece requisitos para a concessão, ainda que por meio de conceitos abertos, aumenta a chance de questionamentos judiciais, prejudicando, uma vez mais, a </w:t>
      </w:r>
      <w:r w:rsidRPr="00384783">
        <w:rPr>
          <w:rFonts w:ascii="Century Gothic" w:hAnsi="Century Gothic"/>
          <w:u w:val="single"/>
        </w:rPr>
        <w:t>segurança jurídica</w:t>
      </w:r>
      <w:r w:rsidRPr="00D27944">
        <w:rPr>
          <w:rFonts w:ascii="Century Gothic" w:hAnsi="Century Gothic"/>
        </w:rPr>
        <w:t xml:space="preserve"> e tornando duvidosa a </w:t>
      </w:r>
      <w:r w:rsidRPr="00384783">
        <w:rPr>
          <w:rFonts w:ascii="Century Gothic" w:hAnsi="Century Gothic"/>
          <w:u w:val="single"/>
        </w:rPr>
        <w:t>utilidade prática</w:t>
      </w:r>
      <w:r w:rsidRPr="00D27944">
        <w:rPr>
          <w:rFonts w:ascii="Century Gothic" w:hAnsi="Century Gothic"/>
        </w:rPr>
        <w:t xml:space="preserve"> do instituto. </w:t>
      </w:r>
    </w:p>
    <w:p w14:paraId="4BC0F9C7" w14:textId="453B143F" w:rsidR="00583525" w:rsidRPr="00D27944" w:rsidRDefault="00583525" w:rsidP="00583525">
      <w:pPr>
        <w:pStyle w:val="Textodenotaderodap"/>
        <w:spacing w:line="360" w:lineRule="auto"/>
        <w:jc w:val="both"/>
        <w:rPr>
          <w:rFonts w:ascii="Century Gothic" w:hAnsi="Century Gothic"/>
        </w:rPr>
      </w:pPr>
    </w:p>
    <w:p w14:paraId="06847D45" w14:textId="5286F003" w:rsidR="00583525" w:rsidRPr="00D27944" w:rsidRDefault="00583525" w:rsidP="00226A81">
      <w:pPr>
        <w:pStyle w:val="Textodenotaderodap"/>
        <w:numPr>
          <w:ilvl w:val="0"/>
          <w:numId w:val="2"/>
        </w:numPr>
        <w:spacing w:line="360" w:lineRule="auto"/>
        <w:jc w:val="both"/>
        <w:rPr>
          <w:rFonts w:ascii="Century Gothic" w:hAnsi="Century Gothic"/>
          <w:b/>
        </w:rPr>
      </w:pPr>
      <w:r w:rsidRPr="00D27944">
        <w:rPr>
          <w:rFonts w:ascii="Century Gothic" w:hAnsi="Century Gothic"/>
          <w:b/>
        </w:rPr>
        <w:t>DA AUSÊNCIA DE PREVISÃO DE DEMARCAÇÃO URBANÍSTICA</w:t>
      </w:r>
    </w:p>
    <w:p w14:paraId="1939C201" w14:textId="77777777" w:rsidR="00384783" w:rsidRDefault="00384783" w:rsidP="00C9650C">
      <w:pPr>
        <w:pStyle w:val="Textodenotaderodap"/>
        <w:spacing w:line="360" w:lineRule="auto"/>
        <w:ind w:firstLine="1701"/>
        <w:jc w:val="both"/>
        <w:rPr>
          <w:rFonts w:ascii="Century Gothic" w:hAnsi="Century Gothic" w:cstheme="majorHAnsi"/>
        </w:rPr>
      </w:pPr>
    </w:p>
    <w:p w14:paraId="4786E54A" w14:textId="4C24A9AB" w:rsidR="00583525" w:rsidRPr="00D27944" w:rsidRDefault="00583525" w:rsidP="00C9650C">
      <w:pPr>
        <w:pStyle w:val="Textodenotaderodap"/>
        <w:spacing w:line="360" w:lineRule="auto"/>
        <w:ind w:firstLine="1701"/>
        <w:jc w:val="both"/>
        <w:rPr>
          <w:rFonts w:ascii="Century Gothic" w:hAnsi="Century Gothic" w:cstheme="majorHAnsi"/>
        </w:rPr>
      </w:pPr>
      <w:r w:rsidRPr="00D27944">
        <w:rPr>
          <w:rFonts w:ascii="Century Gothic" w:hAnsi="Century Gothic" w:cstheme="majorHAnsi"/>
        </w:rPr>
        <w:t>A revogada Lei nº 11.977/09</w:t>
      </w:r>
      <w:r w:rsidR="00756414">
        <w:rPr>
          <w:rStyle w:val="Refdenotaderodap"/>
          <w:rFonts w:ascii="Century Gothic" w:hAnsi="Century Gothic" w:cstheme="majorHAnsi"/>
        </w:rPr>
        <w:footnoteReference w:id="20"/>
      </w:r>
      <w:r w:rsidR="00756414">
        <w:rPr>
          <w:rFonts w:ascii="Century Gothic" w:hAnsi="Century Gothic" w:cstheme="majorHAnsi"/>
        </w:rPr>
        <w:t xml:space="preserve"> </w:t>
      </w:r>
      <w:r w:rsidRPr="00D27944">
        <w:rPr>
          <w:rFonts w:ascii="Century Gothic" w:hAnsi="Century Gothic" w:cstheme="majorHAnsi"/>
        </w:rPr>
        <w:t xml:space="preserve">havia criado o instituto da demarcação urbanística, que permitia a perfeita </w:t>
      </w:r>
      <w:r w:rsidRPr="00384783">
        <w:rPr>
          <w:rFonts w:ascii="Century Gothic" w:hAnsi="Century Gothic" w:cstheme="majorHAnsi"/>
          <w:u w:val="single"/>
        </w:rPr>
        <w:t>identificação</w:t>
      </w:r>
      <w:r w:rsidRPr="00D27944">
        <w:rPr>
          <w:rFonts w:ascii="Century Gothic" w:hAnsi="Century Gothic" w:cstheme="majorHAnsi"/>
        </w:rPr>
        <w:t xml:space="preserve"> da área a ser </w:t>
      </w:r>
      <w:r w:rsidRPr="00D27944">
        <w:rPr>
          <w:rFonts w:ascii="Century Gothic" w:hAnsi="Century Gothic" w:cstheme="majorHAnsi"/>
        </w:rPr>
        <w:lastRenderedPageBreak/>
        <w:t xml:space="preserve">regularizada, útil sobretudo nos casos em que a descrição tabular era incompleta ou incompreensível. O instrumento, utilizado na regularização fundiária de interesse social, </w:t>
      </w:r>
      <w:r w:rsidR="00D27944" w:rsidRPr="00D27944">
        <w:rPr>
          <w:rFonts w:ascii="Century Gothic" w:hAnsi="Century Gothic" w:cstheme="majorHAnsi"/>
        </w:rPr>
        <w:t>se voltava à segurança jurídica.</w:t>
      </w:r>
    </w:p>
    <w:p w14:paraId="14E18C89" w14:textId="77777777" w:rsidR="00D414DA" w:rsidRDefault="00D414DA" w:rsidP="00C9650C">
      <w:pPr>
        <w:pStyle w:val="Textodenotaderodap"/>
        <w:spacing w:line="360" w:lineRule="auto"/>
        <w:ind w:firstLine="1701"/>
        <w:jc w:val="both"/>
        <w:rPr>
          <w:rFonts w:ascii="Century Gothic" w:hAnsi="Century Gothic" w:cstheme="majorHAnsi"/>
        </w:rPr>
      </w:pPr>
    </w:p>
    <w:p w14:paraId="255FEF93" w14:textId="77AFC1B9" w:rsidR="00D27944" w:rsidRDefault="00D27944" w:rsidP="00C9650C">
      <w:pPr>
        <w:pStyle w:val="Textodenotaderodap"/>
        <w:spacing w:line="360" w:lineRule="auto"/>
        <w:ind w:firstLine="1701"/>
        <w:jc w:val="both"/>
        <w:rPr>
          <w:rFonts w:ascii="Century Gothic" w:hAnsi="Century Gothic" w:cstheme="majorHAnsi"/>
        </w:rPr>
      </w:pPr>
      <w:r w:rsidRPr="00D27944">
        <w:rPr>
          <w:rFonts w:ascii="Century Gothic" w:hAnsi="Century Gothic" w:cstheme="majorHAnsi"/>
        </w:rPr>
        <w:t>A MP nº 759/2016, não prevendo a demarcação urbanística, deixou um vazio nesse tema, o que, uma vez mais, pode dificultar justamente a regularização de assentamentos informais, que apresentam maior dificuldade de individualização no registro imobiliário.</w:t>
      </w:r>
    </w:p>
    <w:p w14:paraId="4E2667F3" w14:textId="70FE7531" w:rsidR="00D414DA" w:rsidRDefault="00D414DA" w:rsidP="00C9650C">
      <w:pPr>
        <w:pStyle w:val="Textodenotaderodap"/>
        <w:spacing w:line="360" w:lineRule="auto"/>
        <w:ind w:firstLine="1701"/>
        <w:jc w:val="both"/>
        <w:rPr>
          <w:rFonts w:ascii="Century Gothic" w:hAnsi="Century Gothic" w:cstheme="majorHAnsi"/>
        </w:rPr>
      </w:pPr>
    </w:p>
    <w:sectPr w:rsidR="00D414DA" w:rsidSect="00F711C6">
      <w:headerReference w:type="default" r:id="rId9"/>
      <w:pgSz w:w="11906" w:h="16838" w:code="9"/>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D52E" w14:textId="77777777" w:rsidR="008A79B5" w:rsidRDefault="008A79B5" w:rsidP="00DD6723">
      <w:pPr>
        <w:spacing w:after="0" w:line="240" w:lineRule="auto"/>
      </w:pPr>
      <w:r>
        <w:separator/>
      </w:r>
    </w:p>
  </w:endnote>
  <w:endnote w:type="continuationSeparator" w:id="0">
    <w:p w14:paraId="73BBAD0A" w14:textId="77777777" w:rsidR="008A79B5" w:rsidRDefault="008A79B5" w:rsidP="00D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Tw Cen MT">
    <w:altName w:val="Tw Ce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0C18F" w14:textId="77777777" w:rsidR="008A79B5" w:rsidRDefault="008A79B5" w:rsidP="00DD6723">
      <w:pPr>
        <w:spacing w:after="0" w:line="240" w:lineRule="auto"/>
      </w:pPr>
      <w:r>
        <w:separator/>
      </w:r>
    </w:p>
  </w:footnote>
  <w:footnote w:type="continuationSeparator" w:id="0">
    <w:p w14:paraId="1340D1C9" w14:textId="77777777" w:rsidR="008A79B5" w:rsidRDefault="008A79B5" w:rsidP="00DD6723">
      <w:pPr>
        <w:spacing w:after="0" w:line="240" w:lineRule="auto"/>
      </w:pPr>
      <w:r>
        <w:continuationSeparator/>
      </w:r>
    </w:p>
  </w:footnote>
  <w:footnote w:id="1">
    <w:p w14:paraId="67B5FCF1" w14:textId="49DD48DF" w:rsidR="00D27944" w:rsidRPr="00D27944" w:rsidRDefault="00D27944" w:rsidP="00D27944">
      <w:pPr>
        <w:pStyle w:val="Textodenotaderodap"/>
        <w:jc w:val="both"/>
        <w:rPr>
          <w:rFonts w:ascii="Century Gothic" w:hAnsi="Century Gothic"/>
          <w:sz w:val="16"/>
          <w:szCs w:val="16"/>
        </w:rPr>
      </w:pPr>
      <w:r w:rsidRPr="00D27944">
        <w:rPr>
          <w:rStyle w:val="Refdenotaderodap"/>
          <w:rFonts w:ascii="Century Gothic" w:hAnsi="Century Gothic"/>
          <w:sz w:val="16"/>
          <w:szCs w:val="16"/>
        </w:rPr>
        <w:footnoteRef/>
      </w:r>
      <w:r w:rsidRPr="00D27944">
        <w:rPr>
          <w:rFonts w:ascii="Century Gothic" w:hAnsi="Century Gothic"/>
          <w:sz w:val="16"/>
          <w:szCs w:val="16"/>
        </w:rPr>
        <w:t xml:space="preserve"> </w:t>
      </w:r>
      <w:r>
        <w:rPr>
          <w:rFonts w:ascii="Century Gothic" w:hAnsi="Century Gothic"/>
          <w:sz w:val="16"/>
          <w:szCs w:val="16"/>
        </w:rPr>
        <w:t xml:space="preserve">Art. 182. </w:t>
      </w:r>
      <w:r w:rsidRPr="00D27944">
        <w:rPr>
          <w:rFonts w:ascii="Century Gothic" w:hAnsi="Century Gothic" w:cs="Arial"/>
          <w:color w:val="000000"/>
          <w:sz w:val="16"/>
          <w:szCs w:val="16"/>
          <w:shd w:val="clear" w:color="auto" w:fill="FFFFFF"/>
        </w:rPr>
        <w:t>A política de desenvolvimento urbano, executada pelo Poder Público municipal, conforme diretrizes gerais fixadas em lei, tem por objetivo ordenar o pleno desenvolvimento das funções sociais da cidade e garantir o bem- estar de seus habitantes. </w:t>
      </w:r>
    </w:p>
  </w:footnote>
  <w:footnote w:id="2">
    <w:p w14:paraId="057C6300" w14:textId="1BCEBA44" w:rsidR="00D40705" w:rsidRPr="00D40705" w:rsidRDefault="00D40705" w:rsidP="00D40705">
      <w:pPr>
        <w:spacing w:after="0" w:line="240" w:lineRule="auto"/>
        <w:jc w:val="both"/>
        <w:rPr>
          <w:rFonts w:ascii="Century Gothic" w:hAnsi="Century Gothic"/>
          <w:sz w:val="16"/>
          <w:szCs w:val="16"/>
        </w:rPr>
      </w:pPr>
      <w:r>
        <w:rPr>
          <w:rFonts w:ascii="Century Gothic" w:hAnsi="Century Gothic"/>
          <w:sz w:val="16"/>
          <w:szCs w:val="16"/>
        </w:rPr>
        <w:t xml:space="preserve">² </w:t>
      </w:r>
      <w:r w:rsidRPr="00D40705">
        <w:rPr>
          <w:rFonts w:ascii="Century Gothic" w:hAnsi="Century Gothic"/>
          <w:sz w:val="16"/>
          <w:szCs w:val="16"/>
        </w:rPr>
        <w:t>Art. 2</w:t>
      </w:r>
      <w:r>
        <w:rPr>
          <w:rFonts w:ascii="Century Gothic" w:hAnsi="Century Gothic"/>
          <w:sz w:val="16"/>
          <w:szCs w:val="16"/>
        </w:rPr>
        <w:t>º.</w:t>
      </w:r>
      <w:r w:rsidRPr="00D40705">
        <w:rPr>
          <w:rFonts w:ascii="Century Gothic" w:hAnsi="Century Gothic"/>
          <w:sz w:val="16"/>
          <w:szCs w:val="16"/>
        </w:rPr>
        <w:t> A política urbana tem por objetivo ordenar o pleno desenvolvimento das funções sociais da cidade e da propriedade urbana, mediante as seguintes diretrizes gerais:</w:t>
      </w:r>
    </w:p>
    <w:p w14:paraId="0FEEB99D" w14:textId="3CE19C06" w:rsidR="00D40705" w:rsidRDefault="00D40705" w:rsidP="00D40705">
      <w:pPr>
        <w:spacing w:after="0" w:line="240" w:lineRule="auto"/>
        <w:jc w:val="both"/>
        <w:rPr>
          <w:rFonts w:ascii="Century Gothic" w:hAnsi="Century Gothic"/>
          <w:sz w:val="16"/>
          <w:szCs w:val="16"/>
        </w:rPr>
      </w:pPr>
      <w:bookmarkStart w:id="1" w:name="art2i"/>
      <w:bookmarkEnd w:id="1"/>
      <w:r w:rsidRPr="00D40705">
        <w:rPr>
          <w:rFonts w:ascii="Century Gothic" w:hAnsi="Century Gothic"/>
          <w:sz w:val="16"/>
          <w:szCs w:val="16"/>
        </w:rPr>
        <w:t>I – garantia do direito a cidades sustentáveis, entendido como o direito à terra urbana, à moradia, ao saneamento ambiental, à infra-estrutura urbana, ao transporte e aos serviços públicos, ao trabalho e ao lazer, para as presentes e futuras gerações;</w:t>
      </w:r>
      <w:r>
        <w:rPr>
          <w:rFonts w:ascii="Century Gothic" w:hAnsi="Century Gothic"/>
          <w:sz w:val="16"/>
          <w:szCs w:val="16"/>
        </w:rPr>
        <w:t xml:space="preserve"> </w:t>
      </w:r>
    </w:p>
    <w:p w14:paraId="362B728A" w14:textId="12CD03FC" w:rsidR="00D40705" w:rsidRDefault="00D40705" w:rsidP="00D40705">
      <w:pPr>
        <w:spacing w:after="0" w:line="240" w:lineRule="auto"/>
        <w:jc w:val="both"/>
        <w:rPr>
          <w:rFonts w:ascii="Century Gothic" w:hAnsi="Century Gothic"/>
          <w:sz w:val="16"/>
          <w:szCs w:val="16"/>
        </w:rPr>
      </w:pPr>
      <w:r>
        <w:rPr>
          <w:rFonts w:ascii="Century Gothic" w:hAnsi="Century Gothic"/>
          <w:sz w:val="16"/>
          <w:szCs w:val="16"/>
        </w:rPr>
        <w:t>[...]</w:t>
      </w:r>
    </w:p>
    <w:p w14:paraId="5E1E887A" w14:textId="09E1EF0F" w:rsidR="00D40705" w:rsidRPr="00D40705" w:rsidRDefault="00D40705" w:rsidP="00D40705">
      <w:pPr>
        <w:spacing w:after="0" w:line="240" w:lineRule="auto"/>
        <w:jc w:val="both"/>
        <w:rPr>
          <w:rFonts w:ascii="Century Gothic" w:hAnsi="Century Gothic"/>
          <w:sz w:val="16"/>
          <w:szCs w:val="16"/>
        </w:rPr>
      </w:pPr>
      <w:r w:rsidRPr="00D40705">
        <w:rPr>
          <w:rFonts w:ascii="Century Gothic" w:hAnsi="Century Gothic" w:cs="Arial"/>
          <w:color w:val="000000"/>
          <w:sz w:val="16"/>
          <w:szCs w:val="16"/>
          <w:shd w:val="clear" w:color="auto" w:fill="FFFFFF"/>
        </w:rPr>
        <w:t>IV – planejamento do desenvolvimento das cidades, da distribuição espacial da população e das atividades econômicas do Município e do território sob sua área de influência, de modo a evitar e corrigir as distorções do crescimento urbano e seus efeitos negativos sobre o meio ambiente;</w:t>
      </w:r>
    </w:p>
    <w:p w14:paraId="129C3C1C" w14:textId="5CAC6D9B" w:rsidR="00D40705" w:rsidRDefault="00D40705">
      <w:pPr>
        <w:pStyle w:val="Textodenotaderodap"/>
        <w:rPr>
          <w:rFonts w:ascii="Century Gothic" w:hAnsi="Century Gothic"/>
          <w:sz w:val="16"/>
          <w:szCs w:val="16"/>
        </w:rPr>
      </w:pPr>
      <w:r>
        <w:rPr>
          <w:rFonts w:ascii="Century Gothic" w:hAnsi="Century Gothic"/>
          <w:sz w:val="16"/>
          <w:szCs w:val="16"/>
        </w:rPr>
        <w:t>[...]</w:t>
      </w:r>
    </w:p>
    <w:p w14:paraId="5DF5CC77" w14:textId="515FA285" w:rsidR="00D40705" w:rsidRPr="00D40705" w:rsidRDefault="00D40705" w:rsidP="00D40705">
      <w:pPr>
        <w:pStyle w:val="Textodenotaderodap"/>
        <w:jc w:val="both"/>
        <w:rPr>
          <w:rFonts w:ascii="Century Gothic" w:hAnsi="Century Gothic" w:cs="Arial"/>
          <w:color w:val="000000"/>
          <w:sz w:val="16"/>
          <w:szCs w:val="16"/>
          <w:shd w:val="clear" w:color="auto" w:fill="FFFFFF"/>
        </w:rPr>
      </w:pPr>
      <w:r w:rsidRPr="00D40705">
        <w:rPr>
          <w:rFonts w:ascii="Century Gothic" w:hAnsi="Century Gothic" w:cs="Arial"/>
          <w:color w:val="000000"/>
          <w:sz w:val="16"/>
          <w:szCs w:val="16"/>
          <w:shd w:val="clear" w:color="auto" w:fill="FFFFFF"/>
        </w:rPr>
        <w:t>VI – ordenação e controle do uso do solo [...];</w:t>
      </w:r>
    </w:p>
    <w:p w14:paraId="54F17B23" w14:textId="73A51694" w:rsidR="00D40705" w:rsidRDefault="00D40705" w:rsidP="00D40705">
      <w:pPr>
        <w:pStyle w:val="Textodenotaderodap"/>
        <w:jc w:val="both"/>
        <w:rPr>
          <w:rFonts w:ascii="Century Gothic" w:hAnsi="Century Gothic" w:cs="Arial"/>
          <w:color w:val="000000"/>
          <w:sz w:val="16"/>
          <w:szCs w:val="16"/>
          <w:shd w:val="clear" w:color="auto" w:fill="FFFFFF"/>
        </w:rPr>
      </w:pPr>
      <w:r>
        <w:rPr>
          <w:rFonts w:ascii="Century Gothic" w:hAnsi="Century Gothic" w:cs="Arial"/>
          <w:color w:val="000000"/>
          <w:sz w:val="16"/>
          <w:szCs w:val="16"/>
          <w:shd w:val="clear" w:color="auto" w:fill="FFFFFF"/>
        </w:rPr>
        <w:t>[...]</w:t>
      </w:r>
    </w:p>
    <w:p w14:paraId="5CEAB1E4" w14:textId="7AB03516" w:rsidR="00D40705" w:rsidRPr="00D40705" w:rsidRDefault="00D40705" w:rsidP="00D40705">
      <w:pPr>
        <w:pStyle w:val="Textodenotaderodap"/>
        <w:jc w:val="both"/>
        <w:rPr>
          <w:rFonts w:ascii="Century Gothic" w:hAnsi="Century Gothic"/>
          <w:sz w:val="16"/>
          <w:szCs w:val="16"/>
        </w:rPr>
      </w:pPr>
      <w:r w:rsidRPr="00D40705">
        <w:rPr>
          <w:rFonts w:ascii="Century Gothic" w:hAnsi="Century Gothic" w:cs="Arial"/>
          <w:color w:val="000000"/>
          <w:sz w:val="16"/>
          <w:szCs w:val="16"/>
          <w:shd w:val="clear" w:color="auto" w:fill="FFFFFF"/>
        </w:rPr>
        <w:t>XIV – regularização fundiária e urbanização de áreas ocupadas por população de baixa renda mediante o estabelecimento de normas especiais de urbanização, uso e ocupação do solo e edificação, consideradas a situação socioeconômica da população e as normas ambientais</w:t>
      </w:r>
    </w:p>
  </w:footnote>
  <w:footnote w:id="3">
    <w:p w14:paraId="43BAE680" w14:textId="5F4D03DD" w:rsidR="00D40705" w:rsidRPr="00D40705" w:rsidRDefault="00D40705" w:rsidP="00D40705">
      <w:pPr>
        <w:pStyle w:val="Textodenotaderodap"/>
        <w:jc w:val="both"/>
        <w:rPr>
          <w:rFonts w:ascii="Century Gothic" w:hAnsi="Century Gothic"/>
          <w:sz w:val="16"/>
          <w:szCs w:val="16"/>
        </w:rPr>
      </w:pPr>
      <w:r w:rsidRPr="00D40705">
        <w:rPr>
          <w:rStyle w:val="Refdenotaderodap"/>
          <w:rFonts w:ascii="Century Gothic" w:hAnsi="Century Gothic"/>
          <w:sz w:val="16"/>
          <w:szCs w:val="16"/>
        </w:rPr>
        <w:footnoteRef/>
      </w:r>
      <w:r w:rsidRPr="00D40705">
        <w:rPr>
          <w:rFonts w:ascii="Century Gothic" w:hAnsi="Century Gothic"/>
          <w:sz w:val="16"/>
          <w:szCs w:val="16"/>
        </w:rPr>
        <w:t xml:space="preserve"> </w:t>
      </w:r>
      <w:r w:rsidRPr="00D40705">
        <w:rPr>
          <w:rFonts w:ascii="Century Gothic" w:hAnsi="Century Gothic" w:cs="Arial"/>
          <w:color w:val="000000"/>
          <w:sz w:val="16"/>
          <w:szCs w:val="16"/>
        </w:rPr>
        <w:t>Os poderes públicos formularão e desenvolverão no espaço urbano as políticas de suas competências de acordo com os princípios de competitividade, sustentabilidade econômica, social e ambiental, ordenação territorial, eficiência energética e complexidade funcional, buscando que o solo se ocupe de maneira eficiente, combinando seu uso de forma funcional. </w:t>
      </w:r>
    </w:p>
  </w:footnote>
  <w:footnote w:id="4">
    <w:p w14:paraId="4270035B" w14:textId="4769B361" w:rsidR="00C930B6" w:rsidRPr="00C930B6" w:rsidRDefault="00C930B6" w:rsidP="00C930B6">
      <w:pPr>
        <w:pStyle w:val="Textodenotaderodap"/>
        <w:jc w:val="both"/>
        <w:rPr>
          <w:rFonts w:ascii="Century Gothic" w:hAnsi="Century Gothic"/>
          <w:sz w:val="16"/>
          <w:szCs w:val="16"/>
        </w:rPr>
      </w:pPr>
      <w:r w:rsidRPr="00C930B6">
        <w:rPr>
          <w:rStyle w:val="Refdenotaderodap"/>
          <w:rFonts w:ascii="Century Gothic" w:hAnsi="Century Gothic"/>
          <w:sz w:val="16"/>
          <w:szCs w:val="16"/>
        </w:rPr>
        <w:footnoteRef/>
      </w:r>
      <w:r w:rsidRPr="00C930B6">
        <w:rPr>
          <w:rFonts w:ascii="Century Gothic" w:hAnsi="Century Gothic"/>
          <w:sz w:val="16"/>
          <w:szCs w:val="16"/>
        </w:rPr>
        <w:t xml:space="preserve"> Na Reurb, os Municípios e o Distrito Federal poderão admitir o uso misto de atividades como forma de promover a integração social e a geração de emprego e renda no núcleo urbano informal regularizado.</w:t>
      </w:r>
    </w:p>
  </w:footnote>
  <w:footnote w:id="5">
    <w:p w14:paraId="4BE8B24C" w14:textId="77777777" w:rsidR="00D40705" w:rsidRPr="00D40705" w:rsidRDefault="00D40705" w:rsidP="00D40705">
      <w:pPr>
        <w:pStyle w:val="Textodenotaderodap"/>
        <w:jc w:val="both"/>
        <w:rPr>
          <w:rFonts w:ascii="Century Gothic" w:hAnsi="Century Gothic"/>
          <w:sz w:val="16"/>
          <w:szCs w:val="16"/>
        </w:rPr>
      </w:pPr>
      <w:r w:rsidRPr="00D40705">
        <w:rPr>
          <w:rStyle w:val="Refdenotaderodap"/>
          <w:rFonts w:ascii="Century Gothic" w:hAnsi="Century Gothic"/>
          <w:sz w:val="16"/>
          <w:szCs w:val="16"/>
        </w:rPr>
        <w:footnoteRef/>
      </w:r>
      <w:r w:rsidRPr="00D40705">
        <w:rPr>
          <w:rFonts w:ascii="Century Gothic" w:hAnsi="Century Gothic"/>
          <w:sz w:val="16"/>
          <w:szCs w:val="16"/>
        </w:rPr>
        <w:t xml:space="preserve"> O art. 47, I, da Lei nº 11.977/09 define </w:t>
      </w:r>
      <w:r w:rsidRPr="00D40705">
        <w:rPr>
          <w:rFonts w:ascii="Century Gothic" w:hAnsi="Century Gothic" w:cs="Arial"/>
          <w:color w:val="000000"/>
          <w:sz w:val="16"/>
          <w:szCs w:val="16"/>
        </w:rPr>
        <w:t>área urbana como parcela do território, contínua ou não, incluída no perímetro urbano pelo Plano Diretor ou por lei municipal específica.</w:t>
      </w:r>
    </w:p>
  </w:footnote>
  <w:footnote w:id="6">
    <w:p w14:paraId="390CF755" w14:textId="77777777" w:rsidR="00DD6723" w:rsidRPr="00D27944" w:rsidRDefault="00DD6723" w:rsidP="00DD6723">
      <w:pPr>
        <w:pStyle w:val="Textodenotaderodap"/>
        <w:jc w:val="both"/>
        <w:rPr>
          <w:rFonts w:ascii="Century Gothic" w:hAnsi="Century Gothic"/>
          <w:sz w:val="16"/>
          <w:szCs w:val="16"/>
        </w:rPr>
      </w:pPr>
      <w:r w:rsidRPr="00D27944">
        <w:rPr>
          <w:rStyle w:val="Refdenotaderodap"/>
          <w:rFonts w:ascii="Century Gothic" w:hAnsi="Century Gothic"/>
          <w:sz w:val="16"/>
          <w:szCs w:val="16"/>
        </w:rPr>
        <w:footnoteRef/>
      </w:r>
      <w:r w:rsidRPr="00D27944">
        <w:rPr>
          <w:rFonts w:ascii="Century Gothic" w:hAnsi="Century Gothic"/>
          <w:sz w:val="16"/>
          <w:szCs w:val="16"/>
        </w:rPr>
        <w:t xml:space="preserve"> Segundo o dispositivo, os municípios somente podem ampliar o perímetro urbano mediante a elaboração de projeto, instituído por meio de lei que atenda às diretrizes do Plano Diretor. Busca-se, com isso, a ampliação ordenada do espaço urbano.</w:t>
      </w:r>
    </w:p>
  </w:footnote>
  <w:footnote w:id="7">
    <w:p w14:paraId="41795D08" w14:textId="77777777" w:rsidR="00DD6723" w:rsidRPr="00D27944" w:rsidRDefault="00DD6723" w:rsidP="00DD6723">
      <w:pPr>
        <w:pStyle w:val="Textodenotaderodap"/>
        <w:jc w:val="both"/>
        <w:rPr>
          <w:rFonts w:ascii="Century Gothic" w:hAnsi="Century Gothic"/>
          <w:sz w:val="16"/>
          <w:szCs w:val="16"/>
        </w:rPr>
      </w:pPr>
      <w:r w:rsidRPr="00D27944">
        <w:rPr>
          <w:rStyle w:val="Refdenotaderodap"/>
          <w:rFonts w:ascii="Century Gothic" w:hAnsi="Century Gothic"/>
          <w:sz w:val="16"/>
          <w:szCs w:val="16"/>
        </w:rPr>
        <w:footnoteRef/>
      </w:r>
      <w:r w:rsidRPr="00D27944">
        <w:rPr>
          <w:rFonts w:ascii="Century Gothic" w:hAnsi="Century Gothic"/>
          <w:sz w:val="16"/>
          <w:szCs w:val="16"/>
        </w:rPr>
        <w:t xml:space="preserve"> Nesse sentido, todas as diretrizes da política urbana disciplinadas pelo art. 2º do Estatuto da Cidade.</w:t>
      </w:r>
    </w:p>
  </w:footnote>
  <w:footnote w:id="8">
    <w:p w14:paraId="1E24CA65" w14:textId="77777777" w:rsidR="00697CF0" w:rsidRPr="00697CF0" w:rsidRDefault="00697CF0" w:rsidP="00697CF0">
      <w:pPr>
        <w:spacing w:after="0" w:line="240" w:lineRule="auto"/>
        <w:jc w:val="both"/>
        <w:rPr>
          <w:rFonts w:ascii="Century Gothic" w:eastAsia="Times New Roman" w:hAnsi="Century Gothic" w:cs="Arial"/>
          <w:color w:val="000000"/>
          <w:sz w:val="16"/>
          <w:szCs w:val="16"/>
          <w:lang w:eastAsia="pt-BR"/>
        </w:rPr>
      </w:pPr>
      <w:r w:rsidRPr="00697CF0">
        <w:rPr>
          <w:rStyle w:val="Refdenotaderodap"/>
          <w:rFonts w:ascii="Century Gothic" w:hAnsi="Century Gothic"/>
          <w:sz w:val="16"/>
          <w:szCs w:val="16"/>
        </w:rPr>
        <w:footnoteRef/>
      </w:r>
      <w:r w:rsidRPr="00697CF0">
        <w:rPr>
          <w:rFonts w:ascii="Century Gothic" w:hAnsi="Century Gothic"/>
          <w:sz w:val="16"/>
          <w:szCs w:val="16"/>
        </w:rPr>
        <w:t xml:space="preserve"> </w:t>
      </w:r>
      <w:r w:rsidRPr="00697CF0">
        <w:rPr>
          <w:rFonts w:ascii="Century Gothic" w:eastAsia="Times New Roman" w:hAnsi="Century Gothic" w:cs="Arial"/>
          <w:color w:val="000000"/>
          <w:sz w:val="16"/>
          <w:szCs w:val="16"/>
          <w:lang w:eastAsia="pt-BR"/>
        </w:rPr>
        <w:t>Art. 11. A Reurb compreende duas modalidades:</w:t>
      </w:r>
    </w:p>
    <w:p w14:paraId="04754775" w14:textId="77777777" w:rsidR="00697CF0" w:rsidRPr="00697CF0" w:rsidRDefault="00697CF0" w:rsidP="00697CF0">
      <w:pPr>
        <w:spacing w:after="0" w:line="240" w:lineRule="auto"/>
        <w:jc w:val="both"/>
        <w:rPr>
          <w:rFonts w:ascii="Century Gothic" w:eastAsia="Times New Roman" w:hAnsi="Century Gothic" w:cs="Arial"/>
          <w:color w:val="000000"/>
          <w:sz w:val="16"/>
          <w:szCs w:val="16"/>
          <w:lang w:eastAsia="pt-BR"/>
        </w:rPr>
      </w:pPr>
      <w:r w:rsidRPr="00697CF0">
        <w:rPr>
          <w:rFonts w:ascii="Century Gothic" w:eastAsia="Times New Roman" w:hAnsi="Century Gothic" w:cs="Arial"/>
          <w:color w:val="000000"/>
          <w:sz w:val="16"/>
          <w:szCs w:val="16"/>
          <w:lang w:eastAsia="pt-BR"/>
        </w:rPr>
        <w:t>I - Reurb de interesse social - Reurb-S - aplicável a núcleos urbanos informais ocupados predominantemente por população de baixa renda, observado o disposto em ato do Poder Executivo federal; e</w:t>
      </w:r>
    </w:p>
    <w:p w14:paraId="2CA4AE2E" w14:textId="5CD7D9CD" w:rsidR="00697CF0" w:rsidRPr="00697CF0" w:rsidRDefault="00697CF0" w:rsidP="00697CF0">
      <w:pPr>
        <w:spacing w:after="0" w:line="240" w:lineRule="auto"/>
        <w:jc w:val="both"/>
        <w:rPr>
          <w:rFonts w:ascii="Century Gothic" w:eastAsia="Times New Roman" w:hAnsi="Century Gothic" w:cs="Arial"/>
          <w:color w:val="000000"/>
          <w:sz w:val="16"/>
          <w:szCs w:val="16"/>
          <w:lang w:eastAsia="pt-BR"/>
        </w:rPr>
      </w:pPr>
      <w:r w:rsidRPr="00697CF0">
        <w:rPr>
          <w:rFonts w:ascii="Century Gothic" w:eastAsia="Times New Roman" w:hAnsi="Century Gothic" w:cs="Arial"/>
          <w:color w:val="000000"/>
          <w:sz w:val="16"/>
          <w:szCs w:val="16"/>
          <w:lang w:eastAsia="pt-BR"/>
        </w:rPr>
        <w:t>II - Reurb de interesse específico - Reurb-E - aplicável a núcleos urbanos informais ocupados por população não qualificada na hipótese de que trata o inciso I. </w:t>
      </w:r>
    </w:p>
  </w:footnote>
  <w:footnote w:id="9">
    <w:p w14:paraId="224C27BB" w14:textId="2BD76C85" w:rsidR="00697CF0" w:rsidRPr="00697CF0" w:rsidRDefault="00697CF0" w:rsidP="00697CF0">
      <w:pPr>
        <w:pStyle w:val="Textodenotaderodap"/>
        <w:jc w:val="both"/>
        <w:rPr>
          <w:rFonts w:ascii="Century Gothic" w:hAnsi="Century Gothic"/>
          <w:sz w:val="16"/>
          <w:szCs w:val="16"/>
        </w:rPr>
      </w:pPr>
      <w:r w:rsidRPr="00697CF0">
        <w:rPr>
          <w:rStyle w:val="Refdenotaderodap"/>
          <w:rFonts w:ascii="Century Gothic" w:hAnsi="Century Gothic"/>
          <w:sz w:val="16"/>
          <w:szCs w:val="16"/>
        </w:rPr>
        <w:footnoteRef/>
      </w:r>
      <w:r w:rsidRPr="00697CF0">
        <w:rPr>
          <w:rFonts w:ascii="Century Gothic" w:hAnsi="Century Gothic"/>
          <w:sz w:val="16"/>
          <w:szCs w:val="16"/>
        </w:rPr>
        <w:t xml:space="preserve"> O art. 47, VII, da Lei nº 11.977/09 definia a regularização fundiária de interesse social como regularização fundiária de assentamentos irregulares ocupados, predominantemente, por população de baixa renda, nos casos:                    </w:t>
      </w:r>
    </w:p>
    <w:p w14:paraId="5E9CE8C1" w14:textId="77777777" w:rsidR="00697CF0" w:rsidRPr="00697CF0" w:rsidRDefault="00697CF0" w:rsidP="00697CF0">
      <w:pPr>
        <w:pStyle w:val="Textodenotaderodap"/>
        <w:jc w:val="both"/>
        <w:rPr>
          <w:rFonts w:ascii="Century Gothic" w:hAnsi="Century Gothic"/>
          <w:sz w:val="16"/>
          <w:szCs w:val="16"/>
        </w:rPr>
      </w:pPr>
      <w:r w:rsidRPr="00697CF0">
        <w:rPr>
          <w:rFonts w:ascii="Century Gothic" w:hAnsi="Century Gothic"/>
          <w:sz w:val="16"/>
          <w:szCs w:val="16"/>
        </w:rPr>
        <w:t xml:space="preserve">a) em que a área esteja ocupada, de forma mansa e pacífica, há, pelo menos, 5 (cinco) anos; </w:t>
      </w:r>
    </w:p>
    <w:p w14:paraId="449A1A51" w14:textId="77777777" w:rsidR="00697CF0" w:rsidRPr="00697CF0" w:rsidRDefault="00697CF0" w:rsidP="00697CF0">
      <w:pPr>
        <w:pStyle w:val="Textodenotaderodap"/>
        <w:jc w:val="both"/>
        <w:rPr>
          <w:rFonts w:ascii="Century Gothic" w:hAnsi="Century Gothic"/>
          <w:sz w:val="16"/>
          <w:szCs w:val="16"/>
        </w:rPr>
      </w:pPr>
      <w:r w:rsidRPr="00697CF0">
        <w:rPr>
          <w:rFonts w:ascii="Century Gothic" w:hAnsi="Century Gothic"/>
          <w:sz w:val="16"/>
          <w:szCs w:val="16"/>
        </w:rPr>
        <w:t xml:space="preserve">b) de imóveis situados em ZEIS; ou          </w:t>
      </w:r>
    </w:p>
    <w:p w14:paraId="654927D9" w14:textId="77777777" w:rsidR="00697CF0" w:rsidRPr="00697CF0" w:rsidRDefault="00697CF0" w:rsidP="00697CF0">
      <w:pPr>
        <w:pStyle w:val="Textodenotaderodap"/>
        <w:jc w:val="both"/>
        <w:rPr>
          <w:rFonts w:ascii="Century Gothic" w:hAnsi="Century Gothic"/>
          <w:sz w:val="16"/>
          <w:szCs w:val="16"/>
        </w:rPr>
      </w:pPr>
      <w:r w:rsidRPr="00697CF0">
        <w:rPr>
          <w:rFonts w:ascii="Century Gothic" w:hAnsi="Century Gothic"/>
          <w:sz w:val="16"/>
          <w:szCs w:val="16"/>
        </w:rPr>
        <w:t xml:space="preserve">c) de áreas da União, dos Estados, do Distrito Federal e dos Municípios declaradas de interesse para implantação de projetos de regularização </w:t>
      </w:r>
      <w:r>
        <w:rPr>
          <w:rFonts w:ascii="Century Gothic" w:hAnsi="Century Gothic"/>
          <w:sz w:val="16"/>
          <w:szCs w:val="16"/>
        </w:rPr>
        <w:t>fundiária de interesse social.</w:t>
      </w:r>
    </w:p>
  </w:footnote>
  <w:footnote w:id="10">
    <w:p w14:paraId="2BD70F25" w14:textId="01830E3E" w:rsidR="006B74AA" w:rsidRPr="006B74AA" w:rsidRDefault="006B74AA" w:rsidP="006B74AA">
      <w:pPr>
        <w:pStyle w:val="Textodenotaderodap"/>
        <w:jc w:val="both"/>
        <w:rPr>
          <w:rFonts w:ascii="Century Gothic" w:hAnsi="Century Gothic"/>
          <w:sz w:val="16"/>
          <w:szCs w:val="16"/>
        </w:rPr>
      </w:pPr>
      <w:r w:rsidRPr="006B74AA">
        <w:rPr>
          <w:rStyle w:val="Refdenotaderodap"/>
          <w:rFonts w:ascii="Century Gothic" w:hAnsi="Century Gothic"/>
        </w:rPr>
        <w:footnoteRef/>
      </w:r>
      <w:r w:rsidRPr="006B74AA">
        <w:rPr>
          <w:rFonts w:ascii="Century Gothic" w:hAnsi="Century Gothic"/>
        </w:rPr>
        <w:t xml:space="preserve"> </w:t>
      </w:r>
      <w:r w:rsidRPr="006B74AA">
        <w:rPr>
          <w:rFonts w:ascii="Century Gothic" w:hAnsi="Century Gothic"/>
          <w:sz w:val="16"/>
          <w:szCs w:val="16"/>
        </w:rPr>
        <w:t>Art. 52.  Na regularização fundiária de assentamentos consolidados anteriormente à publicação desta Lei, o Município poderá autorizar a redução do percentual de áreas destinadas ao uso público e da área mínima dos lotes definidos na legislação de parcelamento do solo urbano.</w:t>
      </w:r>
    </w:p>
  </w:footnote>
  <w:footnote w:id="11">
    <w:p w14:paraId="7CB40AAF" w14:textId="2F7FA7BD" w:rsidR="001F6FAE" w:rsidRPr="001F6FAE" w:rsidRDefault="001F6FAE" w:rsidP="001F6FAE">
      <w:pPr>
        <w:pStyle w:val="Textodenotaderodap"/>
        <w:jc w:val="both"/>
        <w:rPr>
          <w:rFonts w:ascii="Century Gothic" w:hAnsi="Century Gothic"/>
          <w:sz w:val="16"/>
          <w:szCs w:val="16"/>
        </w:rPr>
      </w:pPr>
      <w:r w:rsidRPr="001F6FAE">
        <w:rPr>
          <w:rStyle w:val="Refdenotaderodap"/>
          <w:rFonts w:ascii="Century Gothic" w:hAnsi="Century Gothic"/>
          <w:sz w:val="16"/>
          <w:szCs w:val="16"/>
        </w:rPr>
        <w:footnoteRef/>
      </w:r>
      <w:r w:rsidRPr="001F6FAE">
        <w:rPr>
          <w:rFonts w:ascii="Century Gothic" w:hAnsi="Century Gothic"/>
          <w:sz w:val="16"/>
          <w:szCs w:val="16"/>
        </w:rPr>
        <w:t xml:space="preserve"> </w:t>
      </w:r>
      <w:r w:rsidRPr="001F6FAE">
        <w:rPr>
          <w:rFonts w:ascii="Century Gothic" w:hAnsi="Century Gothic"/>
          <w:color w:val="000000"/>
          <w:sz w:val="16"/>
          <w:szCs w:val="16"/>
        </w:rPr>
        <w:t>O projeto de regularização fundiária deverá, no mínimo, indicar as unidades imobiliárias a serem regularizadas, as vias de circulação existentes ou projetadas e as medidas previstas para adequação da infraestrutura essencial, por meio de desenhos, memoriais descritivos e cronograma físico de obras e serviços a serem realizados.</w:t>
      </w:r>
    </w:p>
  </w:footnote>
  <w:footnote w:id="12">
    <w:p w14:paraId="2DE12F89" w14:textId="77777777" w:rsidR="006B74AA" w:rsidRPr="006B74AA" w:rsidRDefault="006B74AA" w:rsidP="006B74AA">
      <w:pPr>
        <w:pStyle w:val="Textodenotaderodap"/>
        <w:jc w:val="both"/>
        <w:rPr>
          <w:rFonts w:ascii="Century Gothic" w:hAnsi="Century Gothic"/>
          <w:sz w:val="16"/>
          <w:szCs w:val="16"/>
        </w:rPr>
      </w:pPr>
      <w:r w:rsidRPr="006B74AA">
        <w:rPr>
          <w:rStyle w:val="Refdenotaderodap"/>
          <w:rFonts w:ascii="Century Gothic" w:hAnsi="Century Gothic"/>
          <w:sz w:val="16"/>
          <w:szCs w:val="16"/>
        </w:rPr>
        <w:footnoteRef/>
      </w:r>
      <w:r w:rsidRPr="006B74AA">
        <w:rPr>
          <w:rFonts w:ascii="Century Gothic" w:hAnsi="Century Gothic"/>
          <w:sz w:val="16"/>
          <w:szCs w:val="16"/>
        </w:rPr>
        <w:t xml:space="preserve"> </w:t>
      </w:r>
      <w:r w:rsidRPr="006B74AA">
        <w:rPr>
          <w:rFonts w:ascii="Century Gothic" w:hAnsi="Century Gothic" w:cs="Arial"/>
          <w:color w:val="000000"/>
          <w:sz w:val="16"/>
          <w:szCs w:val="16"/>
        </w:rPr>
        <w:t>Art. 31.  Na Reurb-S, caberá ao Poder Público competente, diretamente ou por meio da administração pública indireta, implementar a infraestrutura essencial, os equipamentos comunitários e as melhorias habitacionais, previstas nos projetos de regularização, e arcar com os ônus de sua manutenção. </w:t>
      </w:r>
    </w:p>
  </w:footnote>
  <w:footnote w:id="13">
    <w:p w14:paraId="32E978BB" w14:textId="77777777" w:rsidR="006B74AA" w:rsidRPr="006B74AA" w:rsidRDefault="006B74AA" w:rsidP="006B74AA">
      <w:pPr>
        <w:pStyle w:val="Textodenotaderodap"/>
        <w:jc w:val="both"/>
        <w:rPr>
          <w:rFonts w:ascii="Century Gothic" w:hAnsi="Century Gothic"/>
          <w:sz w:val="16"/>
          <w:szCs w:val="16"/>
        </w:rPr>
      </w:pPr>
      <w:r w:rsidRPr="006B74AA">
        <w:rPr>
          <w:rStyle w:val="Refdenotaderodap"/>
          <w:rFonts w:ascii="Century Gothic" w:hAnsi="Century Gothic"/>
          <w:sz w:val="16"/>
          <w:szCs w:val="16"/>
        </w:rPr>
        <w:footnoteRef/>
      </w:r>
      <w:r w:rsidRPr="006B74AA">
        <w:rPr>
          <w:rFonts w:ascii="Century Gothic" w:hAnsi="Century Gothic"/>
          <w:sz w:val="16"/>
          <w:szCs w:val="16"/>
        </w:rPr>
        <w:t xml:space="preserve"> Constatada a existência de área de preservação permanente, total ou parcialmente, em núcleo urbano informal, a Reurb observará, também, o disposto nos arts. 64 e 65 da Lei nº 12.651, de 25 de maio de 2012, hipótese para a qual se torna obrigatória a elaboração de estudos técnicos que justifiquem as melhorias ambientais em relação à situação anterior, inclusive por meio de compensações ambientais, quando for o caso.</w:t>
      </w:r>
    </w:p>
  </w:footnote>
  <w:footnote w:id="14">
    <w:p w14:paraId="41C96F3B" w14:textId="77777777" w:rsidR="006B74AA" w:rsidRPr="006B74AA" w:rsidRDefault="006B74AA" w:rsidP="006B74AA">
      <w:pPr>
        <w:pStyle w:val="Textodenotaderodap"/>
        <w:jc w:val="both"/>
        <w:rPr>
          <w:rFonts w:ascii="Century Gothic" w:hAnsi="Century Gothic"/>
          <w:sz w:val="16"/>
          <w:szCs w:val="16"/>
        </w:rPr>
      </w:pPr>
      <w:r w:rsidRPr="006B74AA">
        <w:rPr>
          <w:rStyle w:val="Refdenotaderodap"/>
          <w:rFonts w:ascii="Century Gothic" w:hAnsi="Century Gothic"/>
          <w:sz w:val="16"/>
          <w:szCs w:val="16"/>
        </w:rPr>
        <w:footnoteRef/>
      </w:r>
      <w:r w:rsidRPr="006B74AA">
        <w:rPr>
          <w:rFonts w:ascii="Century Gothic" w:hAnsi="Century Gothic"/>
          <w:sz w:val="16"/>
          <w:szCs w:val="16"/>
        </w:rPr>
        <w:t xml:space="preserve"> Art. 53.  A regularização fundiária de interesse social depende da análise e da aprovação pelo Município do projeto de que trata o art. 51.  </w:t>
      </w:r>
    </w:p>
    <w:p w14:paraId="67BD0758" w14:textId="77777777" w:rsidR="006B74AA" w:rsidRPr="006B74AA" w:rsidRDefault="006B74AA" w:rsidP="006B74AA">
      <w:pPr>
        <w:pStyle w:val="Textodenotaderodap"/>
        <w:jc w:val="both"/>
        <w:rPr>
          <w:rFonts w:ascii="Century Gothic" w:hAnsi="Century Gothic"/>
          <w:sz w:val="16"/>
          <w:szCs w:val="16"/>
        </w:rPr>
      </w:pPr>
      <w:r>
        <w:rPr>
          <w:rFonts w:ascii="Century Gothic" w:hAnsi="Century Gothic"/>
          <w:sz w:val="16"/>
          <w:szCs w:val="16"/>
        </w:rPr>
        <w:t>§1º.</w:t>
      </w:r>
      <w:r w:rsidRPr="006B74AA">
        <w:rPr>
          <w:rFonts w:ascii="Century Gothic" w:hAnsi="Century Gothic"/>
          <w:sz w:val="16"/>
          <w:szCs w:val="16"/>
        </w:rPr>
        <w:t xml:space="preserve"> A aprovação municipal prevista no caput corresponde ao licenciamento urbanístico do projeto de regularização fundiária de interesse social, bem como ao licenciamento ambiental, se o Município tiver conselho de meio ambiente e órgão ambiental capacitado.          </w:t>
      </w:r>
    </w:p>
    <w:p w14:paraId="59CF9DCC" w14:textId="77777777" w:rsidR="006B74AA" w:rsidRPr="006B74AA" w:rsidRDefault="006B74AA" w:rsidP="006B74AA">
      <w:pPr>
        <w:pStyle w:val="Textodenotaderodap"/>
        <w:jc w:val="both"/>
        <w:rPr>
          <w:rFonts w:ascii="Century Gothic" w:hAnsi="Century Gothic"/>
          <w:sz w:val="16"/>
          <w:szCs w:val="16"/>
        </w:rPr>
      </w:pPr>
      <w:r>
        <w:rPr>
          <w:rFonts w:ascii="Century Gothic" w:hAnsi="Century Gothic"/>
          <w:sz w:val="16"/>
          <w:szCs w:val="16"/>
        </w:rPr>
        <w:t>§2º. Para efeito do disposto no §</w:t>
      </w:r>
      <w:r w:rsidRPr="006B74AA">
        <w:rPr>
          <w:rFonts w:ascii="Century Gothic" w:hAnsi="Century Gothic"/>
          <w:sz w:val="16"/>
          <w:szCs w:val="16"/>
        </w:rPr>
        <w:t>1º, considera-se órgão ambiental capacitado o órgão municipal que possua em seus quadros ou à sua disposição profissionais com atribuição para análise do projeto e decisão sobre o licenciamento ambiental.</w:t>
      </w:r>
    </w:p>
  </w:footnote>
  <w:footnote w:id="15">
    <w:p w14:paraId="751C4DB7" w14:textId="77777777" w:rsidR="007A6B16" w:rsidRPr="00D27944" w:rsidRDefault="007A6B16" w:rsidP="007A6B16">
      <w:pPr>
        <w:pStyle w:val="Textodenotaderodap"/>
        <w:jc w:val="both"/>
        <w:rPr>
          <w:rFonts w:ascii="Century Gothic" w:hAnsi="Century Gothic"/>
          <w:sz w:val="16"/>
          <w:szCs w:val="16"/>
        </w:rPr>
      </w:pPr>
      <w:r w:rsidRPr="00D27944">
        <w:rPr>
          <w:rStyle w:val="Refdenotaderodap"/>
          <w:rFonts w:ascii="Century Gothic" w:hAnsi="Century Gothic"/>
          <w:sz w:val="16"/>
          <w:szCs w:val="16"/>
        </w:rPr>
        <w:footnoteRef/>
      </w:r>
      <w:r w:rsidRPr="00D27944">
        <w:rPr>
          <w:rFonts w:ascii="Century Gothic" w:hAnsi="Century Gothic"/>
          <w:sz w:val="16"/>
          <w:szCs w:val="16"/>
        </w:rPr>
        <w:t xml:space="preserve"> A MP nº 759/2016 não utiliza, em nenhum momento, a expressão “área urbana consolidada”. Existe a noção de “núcleo urbano consolidado”, que é referido num contexto específico, que é o da legitimação fundiária (art. 21, §3º).</w:t>
      </w:r>
    </w:p>
  </w:footnote>
  <w:footnote w:id="16">
    <w:p w14:paraId="59DE5AAB" w14:textId="77777777" w:rsidR="00756414" w:rsidRPr="00756414" w:rsidRDefault="00756414" w:rsidP="00756414">
      <w:pPr>
        <w:pStyle w:val="Textodenotaderodap"/>
        <w:jc w:val="both"/>
        <w:rPr>
          <w:rFonts w:ascii="Century Gothic" w:hAnsi="Century Gothic"/>
          <w:sz w:val="16"/>
          <w:szCs w:val="16"/>
        </w:rPr>
      </w:pPr>
      <w:r w:rsidRPr="00756414">
        <w:rPr>
          <w:rStyle w:val="Refdenotaderodap"/>
          <w:rFonts w:ascii="Century Gothic" w:hAnsi="Century Gothic"/>
          <w:sz w:val="16"/>
          <w:szCs w:val="16"/>
        </w:rPr>
        <w:footnoteRef/>
      </w:r>
      <w:r w:rsidRPr="00756414">
        <w:rPr>
          <w:rFonts w:ascii="Century Gothic" w:hAnsi="Century Gothic"/>
          <w:sz w:val="16"/>
          <w:szCs w:val="16"/>
        </w:rPr>
        <w:t xml:space="preserve"> </w:t>
      </w:r>
      <w:r w:rsidRPr="00756414">
        <w:rPr>
          <w:rFonts w:ascii="Century Gothic" w:hAnsi="Century Gothic" w:cs="Arial"/>
          <w:color w:val="000000"/>
          <w:sz w:val="16"/>
          <w:szCs w:val="16"/>
        </w:rPr>
        <w:t>A Reurb cuja ocupação tenha ocorrido às margens de reservatórios artificiais de água destinados à geração de energia ou ao abastecimento público que foram registrados ou tiveram seus contratos de concessão ou de autorização assinados anteriormente a 24 de agosto de 2001, a faixa da área de preservação permanente será a distância entre o nível máximo operativo normal e a cota máxima</w:t>
      </w:r>
      <w:r w:rsidRPr="00756414">
        <w:rPr>
          <w:rStyle w:val="apple-converted-space"/>
          <w:rFonts w:ascii="Century Gothic" w:hAnsi="Century Gothic" w:cs="Arial"/>
          <w:color w:val="000000"/>
          <w:sz w:val="16"/>
          <w:szCs w:val="16"/>
        </w:rPr>
        <w:t> </w:t>
      </w:r>
      <w:r w:rsidRPr="00756414">
        <w:rPr>
          <w:rFonts w:ascii="Century Gothic" w:hAnsi="Century Gothic" w:cs="Arial"/>
          <w:bCs/>
          <w:i/>
          <w:color w:val="000000"/>
          <w:sz w:val="16"/>
          <w:szCs w:val="16"/>
        </w:rPr>
        <w:t>maximorum</w:t>
      </w:r>
      <w:r w:rsidRPr="00756414">
        <w:rPr>
          <w:rFonts w:ascii="Century Gothic" w:hAnsi="Century Gothic" w:cs="Arial"/>
          <w:color w:val="000000"/>
          <w:sz w:val="16"/>
          <w:szCs w:val="16"/>
        </w:rPr>
        <w:t>.</w:t>
      </w:r>
    </w:p>
  </w:footnote>
  <w:footnote w:id="17">
    <w:p w14:paraId="2786E9BE" w14:textId="66F8B0DF" w:rsidR="00231F72" w:rsidRPr="00231F72" w:rsidRDefault="00231F72" w:rsidP="00231F72">
      <w:pPr>
        <w:pStyle w:val="Textodenotaderodap"/>
        <w:jc w:val="both"/>
        <w:rPr>
          <w:rFonts w:ascii="Century Gothic" w:hAnsi="Century Gothic"/>
          <w:sz w:val="16"/>
          <w:szCs w:val="16"/>
        </w:rPr>
      </w:pPr>
      <w:r w:rsidRPr="00231F72">
        <w:rPr>
          <w:rStyle w:val="Refdenotaderodap"/>
          <w:rFonts w:ascii="Century Gothic" w:hAnsi="Century Gothic"/>
          <w:sz w:val="16"/>
          <w:szCs w:val="16"/>
        </w:rPr>
        <w:footnoteRef/>
      </w:r>
      <w:r w:rsidRPr="00231F72">
        <w:rPr>
          <w:rFonts w:ascii="Century Gothic" w:hAnsi="Century Gothic"/>
          <w:sz w:val="16"/>
          <w:szCs w:val="16"/>
        </w:rPr>
        <w:t xml:space="preserve"> Art. 73, §3º. </w:t>
      </w:r>
      <w:r w:rsidRPr="00231F72">
        <w:rPr>
          <w:rFonts w:ascii="Century Gothic" w:hAnsi="Century Gothic"/>
          <w:color w:val="000000"/>
          <w:sz w:val="16"/>
          <w:szCs w:val="16"/>
        </w:rPr>
        <w:t>As normas e os procedimentos estabelecidos nesta Medida Provisória poderão ser aplicados nas regularizações fundiárias urbanas em andamento, situadas total ou parcialmente em unidade de uso sustentável, em área de preservação permanente e no entorno dos reservatórios de água artificiais, observadas, neste último caso, as normas previstas no</w:t>
      </w:r>
      <w:hyperlink r:id="rId1" w:anchor="art4iii" w:history="1">
        <w:r w:rsidRPr="00231F72">
          <w:rPr>
            <w:rStyle w:val="Hyperlink"/>
            <w:rFonts w:ascii="Century Gothic" w:hAnsi="Century Gothic"/>
            <w:color w:val="auto"/>
            <w:sz w:val="16"/>
            <w:szCs w:val="16"/>
            <w:u w:val="none"/>
          </w:rPr>
          <w:t xml:space="preserve"> art. 4º, </w:t>
        </w:r>
        <w:r w:rsidRPr="00231F72">
          <w:rPr>
            <w:rStyle w:val="Hyperlink"/>
            <w:rFonts w:ascii="Century Gothic" w:hAnsi="Century Gothic"/>
            <w:i/>
            <w:color w:val="auto"/>
            <w:sz w:val="16"/>
            <w:szCs w:val="16"/>
            <w:u w:val="none"/>
          </w:rPr>
          <w:t>caput</w:t>
        </w:r>
        <w:r w:rsidRPr="00231F72">
          <w:rPr>
            <w:rStyle w:val="Hyperlink"/>
            <w:rFonts w:ascii="Century Gothic" w:hAnsi="Century Gothic"/>
            <w:color w:val="auto"/>
            <w:sz w:val="16"/>
            <w:szCs w:val="16"/>
            <w:u w:val="none"/>
          </w:rPr>
          <w:t xml:space="preserve">, inciso III </w:t>
        </w:r>
      </w:hyperlink>
      <w:r w:rsidRPr="00231F72">
        <w:rPr>
          <w:rFonts w:ascii="Century Gothic" w:hAnsi="Century Gothic"/>
          <w:sz w:val="16"/>
          <w:szCs w:val="16"/>
        </w:rPr>
        <w:t xml:space="preserve">e </w:t>
      </w:r>
      <w:hyperlink r:id="rId2" w:anchor="art4§1" w:history="1">
        <w:r w:rsidRPr="00231F72">
          <w:rPr>
            <w:rStyle w:val="Hyperlink"/>
            <w:rFonts w:ascii="Century Gothic" w:hAnsi="Century Gothic"/>
            <w:color w:val="auto"/>
            <w:sz w:val="16"/>
            <w:szCs w:val="16"/>
            <w:u w:val="none"/>
          </w:rPr>
          <w:t>§ 1</w:t>
        </w:r>
        <w:r w:rsidRPr="00231F72">
          <w:rPr>
            <w:rStyle w:val="Hyperlink"/>
            <w:rFonts w:ascii="Century Gothic" w:hAnsi="Century Gothic"/>
            <w:strike/>
            <w:color w:val="auto"/>
            <w:sz w:val="16"/>
            <w:szCs w:val="16"/>
            <w:u w:val="none"/>
          </w:rPr>
          <w:t>º</w:t>
        </w:r>
        <w:r w:rsidRPr="00231F72">
          <w:rPr>
            <w:rStyle w:val="Hyperlink"/>
            <w:rFonts w:ascii="Century Gothic" w:hAnsi="Century Gothic"/>
            <w:color w:val="auto"/>
            <w:sz w:val="16"/>
            <w:szCs w:val="16"/>
            <w:u w:val="none"/>
          </w:rPr>
          <w:t>, da Lei n</w:t>
        </w:r>
        <w:r w:rsidRPr="00231F72">
          <w:rPr>
            <w:rStyle w:val="Hyperlink"/>
            <w:rFonts w:ascii="Century Gothic" w:hAnsi="Century Gothic"/>
            <w:strike/>
            <w:color w:val="auto"/>
            <w:sz w:val="16"/>
            <w:szCs w:val="16"/>
            <w:u w:val="none"/>
          </w:rPr>
          <w:t>º</w:t>
        </w:r>
        <w:r w:rsidRPr="00231F72">
          <w:rPr>
            <w:rStyle w:val="Hyperlink"/>
            <w:rFonts w:ascii="Century Gothic" w:hAnsi="Century Gothic"/>
            <w:color w:val="auto"/>
            <w:sz w:val="16"/>
            <w:szCs w:val="16"/>
            <w:u w:val="none"/>
          </w:rPr>
          <w:t xml:space="preserve"> 12.651, de 25 de maio de 2012</w:t>
        </w:r>
      </w:hyperlink>
      <w:r w:rsidRPr="00231F72">
        <w:rPr>
          <w:rFonts w:ascii="Century Gothic" w:hAnsi="Century Gothic"/>
          <w:sz w:val="16"/>
          <w:szCs w:val="16"/>
        </w:rPr>
        <w:t>.  </w:t>
      </w:r>
    </w:p>
  </w:footnote>
  <w:footnote w:id="18">
    <w:p w14:paraId="6A16DD0C" w14:textId="586EA4DB" w:rsidR="00756414" w:rsidRPr="00AE2683" w:rsidRDefault="00756414">
      <w:pPr>
        <w:pStyle w:val="Textodenotaderodap"/>
        <w:rPr>
          <w:rFonts w:ascii="Century Gothic" w:hAnsi="Century Gothic"/>
          <w:sz w:val="16"/>
          <w:szCs w:val="16"/>
          <w:lang w:val="en-US"/>
        </w:rPr>
      </w:pPr>
      <w:r w:rsidRPr="00756414">
        <w:rPr>
          <w:rStyle w:val="Refdenotaderodap"/>
          <w:rFonts w:ascii="Century Gothic" w:hAnsi="Century Gothic"/>
          <w:sz w:val="16"/>
          <w:szCs w:val="16"/>
        </w:rPr>
        <w:footnoteRef/>
      </w:r>
      <w:r w:rsidRPr="00AE2683">
        <w:rPr>
          <w:rFonts w:ascii="Century Gothic" w:hAnsi="Century Gothic"/>
          <w:sz w:val="16"/>
          <w:szCs w:val="16"/>
          <w:lang w:val="en-US"/>
        </w:rPr>
        <w:t xml:space="preserve"> Art. 31, caput e §1º; art. 32, II; art. 33, §5º; art. 35, §1º. </w:t>
      </w:r>
    </w:p>
  </w:footnote>
  <w:footnote w:id="19">
    <w:p w14:paraId="579C61FF" w14:textId="77777777" w:rsidR="00756414" w:rsidRPr="00756414" w:rsidRDefault="00756414" w:rsidP="00756414">
      <w:pPr>
        <w:pStyle w:val="Textodenotaderodap"/>
        <w:jc w:val="both"/>
        <w:rPr>
          <w:rFonts w:ascii="Century Gothic" w:hAnsi="Century Gothic"/>
          <w:sz w:val="16"/>
          <w:szCs w:val="16"/>
        </w:rPr>
      </w:pPr>
      <w:r w:rsidRPr="00756414">
        <w:rPr>
          <w:rStyle w:val="Refdenotaderodap"/>
          <w:rFonts w:ascii="Century Gothic" w:hAnsi="Century Gothic"/>
          <w:sz w:val="16"/>
          <w:szCs w:val="16"/>
        </w:rPr>
        <w:footnoteRef/>
      </w:r>
      <w:r w:rsidRPr="00756414">
        <w:rPr>
          <w:rFonts w:ascii="Century Gothic" w:hAnsi="Century Gothic"/>
          <w:sz w:val="16"/>
          <w:szCs w:val="16"/>
        </w:rPr>
        <w:t xml:space="preserve"> </w:t>
      </w:r>
      <w:r w:rsidRPr="00756414">
        <w:rPr>
          <w:rFonts w:ascii="Century Gothic" w:hAnsi="Century Gothic" w:cs="Arial"/>
          <w:color w:val="000000"/>
          <w:sz w:val="16"/>
          <w:szCs w:val="16"/>
        </w:rPr>
        <w:t>Na Reurb-S de imóveis públicos, a União, os Estados, o Distrito Federal e os Municípios, e as suas entidades vinculadas, quando titulares do domínio, ficam autorizados a conceder o direito de propriedade aos ocupantes do núcleo urbano informal regularizado por meio da legitimação fundiária.  </w:t>
      </w:r>
    </w:p>
  </w:footnote>
  <w:footnote w:id="20">
    <w:p w14:paraId="6B42AD19" w14:textId="04F34425" w:rsidR="00756414" w:rsidRPr="00756414" w:rsidRDefault="00756414" w:rsidP="00756414">
      <w:pPr>
        <w:pStyle w:val="Textodenotaderodap"/>
        <w:jc w:val="both"/>
        <w:rPr>
          <w:rFonts w:ascii="Century Gothic" w:hAnsi="Century Gothic"/>
          <w:sz w:val="16"/>
          <w:szCs w:val="16"/>
        </w:rPr>
      </w:pPr>
      <w:r w:rsidRPr="00756414">
        <w:rPr>
          <w:rStyle w:val="Refdenotaderodap"/>
          <w:rFonts w:ascii="Century Gothic" w:hAnsi="Century Gothic"/>
          <w:sz w:val="16"/>
          <w:szCs w:val="16"/>
        </w:rPr>
        <w:footnoteRef/>
      </w:r>
      <w:r w:rsidRPr="00756414">
        <w:rPr>
          <w:rFonts w:ascii="Century Gothic" w:hAnsi="Century Gothic"/>
          <w:sz w:val="16"/>
          <w:szCs w:val="16"/>
        </w:rPr>
        <w:t xml:space="preserve"> Art. 56.  O poder público responsável pela regularização fundiária de interesse social poderá lavrar auto de demarcação urbanística, com base no levantamento da situação da área a ser regularizada e na caracterização da ocupação.            </w:t>
      </w:r>
    </w:p>
    <w:p w14:paraId="77F779DC" w14:textId="6FB192BA" w:rsidR="00756414" w:rsidRPr="00756414" w:rsidRDefault="00756414" w:rsidP="00756414">
      <w:pPr>
        <w:pStyle w:val="Textodenotaderodap"/>
        <w:jc w:val="both"/>
        <w:rPr>
          <w:rFonts w:ascii="Century Gothic" w:hAnsi="Century Gothic"/>
          <w:sz w:val="16"/>
          <w:szCs w:val="16"/>
        </w:rPr>
      </w:pPr>
      <w:r>
        <w:rPr>
          <w:rFonts w:ascii="Century Gothic" w:hAnsi="Century Gothic"/>
          <w:sz w:val="16"/>
          <w:szCs w:val="16"/>
        </w:rPr>
        <w:t xml:space="preserve">§1º. </w:t>
      </w:r>
      <w:r w:rsidRPr="00756414">
        <w:rPr>
          <w:rFonts w:ascii="Century Gothic" w:hAnsi="Century Gothic"/>
          <w:sz w:val="16"/>
          <w:szCs w:val="16"/>
        </w:rPr>
        <w:t>O auto de demarcação urbanística deve ser instruído com</w:t>
      </w:r>
      <w:r>
        <w:rPr>
          <w:rFonts w:ascii="Century Gothic" w:hAnsi="Century Gothic"/>
          <w:sz w:val="16"/>
          <w:szCs w:val="16"/>
        </w:rPr>
        <w:t>:</w:t>
      </w:r>
    </w:p>
    <w:p w14:paraId="720FE1E7" w14:textId="62C41F2A" w:rsidR="00756414" w:rsidRPr="00756414" w:rsidRDefault="0086342A" w:rsidP="00756414">
      <w:pPr>
        <w:pStyle w:val="Textodenotaderodap"/>
        <w:jc w:val="both"/>
        <w:rPr>
          <w:rFonts w:ascii="Century Gothic" w:hAnsi="Century Gothic"/>
          <w:sz w:val="16"/>
          <w:szCs w:val="16"/>
        </w:rPr>
      </w:pPr>
      <w:r>
        <w:rPr>
          <w:rFonts w:ascii="Century Gothic" w:hAnsi="Century Gothic"/>
          <w:sz w:val="16"/>
          <w:szCs w:val="16"/>
        </w:rPr>
        <w:t>I</w:t>
      </w:r>
      <w:r w:rsidR="00756414" w:rsidRPr="00756414">
        <w:rPr>
          <w:rFonts w:ascii="Century Gothic" w:hAnsi="Century Gothic"/>
          <w:sz w:val="16"/>
          <w:szCs w:val="16"/>
        </w:rPr>
        <w:t>- planta e memorial descritivo da área a ser regularizada, nos quais constem suas medidas perimetrais, área total, confrontantes, coordenadas preferencialmente georreferenciadas dos vértices definidores de seus limites, número das matrículas ou transcrições atingidas, indicação dos proprietários identificados e ocorrência de situações</w:t>
      </w:r>
      <w:r>
        <w:rPr>
          <w:rFonts w:ascii="Century Gothic" w:hAnsi="Century Gothic"/>
          <w:sz w:val="16"/>
          <w:szCs w:val="16"/>
        </w:rPr>
        <w:t xml:space="preserve"> mencionadas no inciso I do § 5º</w:t>
      </w:r>
      <w:r w:rsidR="00756414" w:rsidRPr="00756414">
        <w:rPr>
          <w:rFonts w:ascii="Century Gothic" w:hAnsi="Century Gothic"/>
          <w:sz w:val="16"/>
          <w:szCs w:val="16"/>
        </w:rPr>
        <w:t xml:space="preserve">; </w:t>
      </w:r>
    </w:p>
    <w:p w14:paraId="665A4D08" w14:textId="6A37273B" w:rsidR="00756414" w:rsidRPr="00756414" w:rsidRDefault="0086342A" w:rsidP="00756414">
      <w:pPr>
        <w:pStyle w:val="Textodenotaderodap"/>
        <w:jc w:val="both"/>
        <w:rPr>
          <w:rFonts w:ascii="Century Gothic" w:hAnsi="Century Gothic"/>
          <w:sz w:val="16"/>
          <w:szCs w:val="16"/>
        </w:rPr>
      </w:pPr>
      <w:r>
        <w:rPr>
          <w:rFonts w:ascii="Century Gothic" w:hAnsi="Century Gothic"/>
          <w:sz w:val="16"/>
          <w:szCs w:val="16"/>
        </w:rPr>
        <w:t>II</w:t>
      </w:r>
      <w:r w:rsidR="00756414" w:rsidRPr="00756414">
        <w:rPr>
          <w:rFonts w:ascii="Century Gothic" w:hAnsi="Century Gothic"/>
          <w:sz w:val="16"/>
          <w:szCs w:val="16"/>
        </w:rPr>
        <w:t>- planta de sobreposição do imóvel demarcado com a situação da área constante do registro de imóveis e, quando possível, com a identificação das situações me</w:t>
      </w:r>
      <w:r>
        <w:rPr>
          <w:rFonts w:ascii="Century Gothic" w:hAnsi="Century Gothic"/>
          <w:sz w:val="16"/>
          <w:szCs w:val="16"/>
        </w:rPr>
        <w:t>ncionadas no inciso I do § 5º; e</w:t>
      </w:r>
    </w:p>
    <w:p w14:paraId="358DD898" w14:textId="2A8FBD9A" w:rsidR="00756414" w:rsidRDefault="0086342A" w:rsidP="00756414">
      <w:pPr>
        <w:pStyle w:val="Textodenotaderodap"/>
        <w:jc w:val="both"/>
        <w:rPr>
          <w:rFonts w:ascii="Century Gothic" w:hAnsi="Century Gothic"/>
          <w:sz w:val="16"/>
          <w:szCs w:val="16"/>
        </w:rPr>
      </w:pPr>
      <w:r>
        <w:rPr>
          <w:rFonts w:ascii="Century Gothic" w:hAnsi="Century Gothic"/>
          <w:sz w:val="16"/>
          <w:szCs w:val="16"/>
        </w:rPr>
        <w:t>III-</w:t>
      </w:r>
      <w:r w:rsidR="00756414" w:rsidRPr="00756414">
        <w:rPr>
          <w:rFonts w:ascii="Century Gothic" w:hAnsi="Century Gothic"/>
          <w:sz w:val="16"/>
          <w:szCs w:val="16"/>
        </w:rPr>
        <w:t xml:space="preserve"> certidão da matrícula ou transcrição da área a ser regularizada, emitida pelo registro de imóveis, ou, diante de sua inexistência, das circunscrições imobiliárias anter</w:t>
      </w:r>
      <w:r>
        <w:rPr>
          <w:rFonts w:ascii="Century Gothic" w:hAnsi="Century Gothic"/>
          <w:sz w:val="16"/>
          <w:szCs w:val="16"/>
        </w:rPr>
        <w:t xml:space="preserve">iormente competentes.          </w:t>
      </w:r>
    </w:p>
    <w:p w14:paraId="67698C71" w14:textId="235BD7BE" w:rsidR="0086342A" w:rsidRPr="00756414" w:rsidRDefault="0086342A" w:rsidP="00756414">
      <w:pPr>
        <w:pStyle w:val="Textodenotaderodap"/>
        <w:jc w:val="both"/>
        <w:rPr>
          <w:rFonts w:ascii="Century Gothic" w:hAnsi="Century Gothic"/>
          <w:sz w:val="16"/>
          <w:szCs w:val="16"/>
        </w:rPr>
      </w:pPr>
      <w:r>
        <w:rPr>
          <w:rFonts w:ascii="Century Gothic" w:hAnsi="Century Gothic"/>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77F8" w14:textId="1CBEFEBD" w:rsidR="00D45489" w:rsidRDefault="00D45489">
    <w:pPr>
      <w:pStyle w:val="Cabealho"/>
    </w:pPr>
    <w:r>
      <w:rPr>
        <w:noProof/>
        <w:lang w:eastAsia="pt-BR"/>
      </w:rPr>
      <w:drawing>
        <wp:inline distT="0" distB="0" distL="0" distR="0" wp14:anchorId="663F47CA" wp14:editId="6F12C0DE">
          <wp:extent cx="5219700" cy="105511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o_individual-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10551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F8E"/>
    <w:multiLevelType w:val="hybridMultilevel"/>
    <w:tmpl w:val="366C29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38166E"/>
    <w:multiLevelType w:val="hybridMultilevel"/>
    <w:tmpl w:val="EFBA70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B3"/>
    <w:rsid w:val="0002072B"/>
    <w:rsid w:val="00146F05"/>
    <w:rsid w:val="001C090B"/>
    <w:rsid w:val="001F6FAE"/>
    <w:rsid w:val="001F7416"/>
    <w:rsid w:val="00226A81"/>
    <w:rsid w:val="00231F72"/>
    <w:rsid w:val="002A6C81"/>
    <w:rsid w:val="002D21D7"/>
    <w:rsid w:val="003426AC"/>
    <w:rsid w:val="0036058D"/>
    <w:rsid w:val="00384783"/>
    <w:rsid w:val="003A3D1C"/>
    <w:rsid w:val="003F4DC4"/>
    <w:rsid w:val="0044066A"/>
    <w:rsid w:val="004631A2"/>
    <w:rsid w:val="004F5237"/>
    <w:rsid w:val="00583525"/>
    <w:rsid w:val="005E5BA8"/>
    <w:rsid w:val="0060696A"/>
    <w:rsid w:val="00697CF0"/>
    <w:rsid w:val="006B74AA"/>
    <w:rsid w:val="00756414"/>
    <w:rsid w:val="007771E3"/>
    <w:rsid w:val="007A6B16"/>
    <w:rsid w:val="007D7BBE"/>
    <w:rsid w:val="0086342A"/>
    <w:rsid w:val="0086594E"/>
    <w:rsid w:val="008A2EC0"/>
    <w:rsid w:val="008A79B5"/>
    <w:rsid w:val="009B571A"/>
    <w:rsid w:val="009E5CB3"/>
    <w:rsid w:val="00AE2683"/>
    <w:rsid w:val="00AF7C26"/>
    <w:rsid w:val="00B376CD"/>
    <w:rsid w:val="00B57EC3"/>
    <w:rsid w:val="00BA6B40"/>
    <w:rsid w:val="00BD138F"/>
    <w:rsid w:val="00C930B6"/>
    <w:rsid w:val="00C9650C"/>
    <w:rsid w:val="00D1531E"/>
    <w:rsid w:val="00D27944"/>
    <w:rsid w:val="00D40705"/>
    <w:rsid w:val="00D414DA"/>
    <w:rsid w:val="00D45489"/>
    <w:rsid w:val="00DB3488"/>
    <w:rsid w:val="00DD6723"/>
    <w:rsid w:val="00E678C5"/>
    <w:rsid w:val="00F400A1"/>
    <w:rsid w:val="00F711C6"/>
    <w:rsid w:val="00F75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5CB3"/>
    <w:pPr>
      <w:ind w:left="720"/>
      <w:contextualSpacing/>
    </w:pPr>
  </w:style>
  <w:style w:type="paragraph" w:styleId="Textodenotaderodap">
    <w:name w:val="footnote text"/>
    <w:basedOn w:val="Normal"/>
    <w:link w:val="TextodenotaderodapChar"/>
    <w:uiPriority w:val="99"/>
    <w:unhideWhenUsed/>
    <w:rsid w:val="00DD6723"/>
    <w:pPr>
      <w:spacing w:after="0" w:line="240" w:lineRule="auto"/>
    </w:pPr>
    <w:rPr>
      <w:rFonts w:ascii="Arial Narrow" w:hAnsi="Arial Narrow" w:cs="DokChampa"/>
      <w:sz w:val="20"/>
      <w:szCs w:val="20"/>
    </w:rPr>
  </w:style>
  <w:style w:type="character" w:customStyle="1" w:styleId="TextodenotaderodapChar">
    <w:name w:val="Texto de nota de rodapé Char"/>
    <w:basedOn w:val="Fontepargpadro"/>
    <w:link w:val="Textodenotaderodap"/>
    <w:uiPriority w:val="99"/>
    <w:rsid w:val="00DD6723"/>
    <w:rPr>
      <w:rFonts w:ascii="Arial Narrow" w:hAnsi="Arial Narrow" w:cs="DokChampa"/>
      <w:sz w:val="20"/>
      <w:szCs w:val="20"/>
    </w:rPr>
  </w:style>
  <w:style w:type="character" w:styleId="Refdenotaderodap">
    <w:name w:val="footnote reference"/>
    <w:basedOn w:val="Fontepargpadro"/>
    <w:uiPriority w:val="99"/>
    <w:semiHidden/>
    <w:unhideWhenUsed/>
    <w:rsid w:val="00DD6723"/>
    <w:rPr>
      <w:vertAlign w:val="superscript"/>
    </w:rPr>
  </w:style>
  <w:style w:type="character" w:customStyle="1" w:styleId="apple-converted-space">
    <w:name w:val="apple-converted-space"/>
    <w:basedOn w:val="Fontepargpadro"/>
    <w:rsid w:val="002D21D7"/>
  </w:style>
  <w:style w:type="paragraph" w:styleId="NormalWeb">
    <w:name w:val="Normal (Web)"/>
    <w:basedOn w:val="Normal"/>
    <w:uiPriority w:val="99"/>
    <w:semiHidden/>
    <w:unhideWhenUsed/>
    <w:rsid w:val="00D407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9650C"/>
    <w:rPr>
      <w:color w:val="0563C1" w:themeColor="hyperlink"/>
      <w:u w:val="single"/>
    </w:rPr>
  </w:style>
  <w:style w:type="character" w:customStyle="1" w:styleId="Mention">
    <w:name w:val="Mention"/>
    <w:basedOn w:val="Fontepargpadro"/>
    <w:uiPriority w:val="99"/>
    <w:semiHidden/>
    <w:unhideWhenUsed/>
    <w:rsid w:val="00C9650C"/>
    <w:rPr>
      <w:color w:val="2B579A"/>
      <w:shd w:val="clear" w:color="auto" w:fill="E6E6E6"/>
    </w:rPr>
  </w:style>
  <w:style w:type="paragraph" w:styleId="Cabealho">
    <w:name w:val="header"/>
    <w:basedOn w:val="Normal"/>
    <w:link w:val="CabealhoChar"/>
    <w:uiPriority w:val="99"/>
    <w:unhideWhenUsed/>
    <w:rsid w:val="00F711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11C6"/>
  </w:style>
  <w:style w:type="paragraph" w:styleId="Rodap">
    <w:name w:val="footer"/>
    <w:basedOn w:val="Normal"/>
    <w:link w:val="RodapChar"/>
    <w:uiPriority w:val="99"/>
    <w:unhideWhenUsed/>
    <w:rsid w:val="00F711C6"/>
    <w:pPr>
      <w:tabs>
        <w:tab w:val="center" w:pos="4252"/>
        <w:tab w:val="right" w:pos="8504"/>
      </w:tabs>
      <w:spacing w:after="0" w:line="240" w:lineRule="auto"/>
    </w:pPr>
  </w:style>
  <w:style w:type="character" w:customStyle="1" w:styleId="RodapChar">
    <w:name w:val="Rodapé Char"/>
    <w:basedOn w:val="Fontepargpadro"/>
    <w:link w:val="Rodap"/>
    <w:uiPriority w:val="99"/>
    <w:rsid w:val="00F711C6"/>
  </w:style>
  <w:style w:type="paragraph" w:styleId="Textodebalo">
    <w:name w:val="Balloon Text"/>
    <w:basedOn w:val="Normal"/>
    <w:link w:val="TextodebaloChar"/>
    <w:uiPriority w:val="99"/>
    <w:semiHidden/>
    <w:unhideWhenUsed/>
    <w:rsid w:val="00F711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11C6"/>
    <w:rPr>
      <w:rFonts w:ascii="Segoe UI" w:hAnsi="Segoe UI" w:cs="Segoe UI"/>
      <w:sz w:val="18"/>
      <w:szCs w:val="18"/>
    </w:rPr>
  </w:style>
  <w:style w:type="paragraph" w:customStyle="1" w:styleId="Default">
    <w:name w:val="Default"/>
    <w:rsid w:val="00226A81"/>
    <w:pPr>
      <w:autoSpaceDE w:val="0"/>
      <w:autoSpaceDN w:val="0"/>
      <w:adjustRightInd w:val="0"/>
      <w:spacing w:after="0" w:line="240" w:lineRule="auto"/>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5CB3"/>
    <w:pPr>
      <w:ind w:left="720"/>
      <w:contextualSpacing/>
    </w:pPr>
  </w:style>
  <w:style w:type="paragraph" w:styleId="Textodenotaderodap">
    <w:name w:val="footnote text"/>
    <w:basedOn w:val="Normal"/>
    <w:link w:val="TextodenotaderodapChar"/>
    <w:uiPriority w:val="99"/>
    <w:unhideWhenUsed/>
    <w:rsid w:val="00DD6723"/>
    <w:pPr>
      <w:spacing w:after="0" w:line="240" w:lineRule="auto"/>
    </w:pPr>
    <w:rPr>
      <w:rFonts w:ascii="Arial Narrow" w:hAnsi="Arial Narrow" w:cs="DokChampa"/>
      <w:sz w:val="20"/>
      <w:szCs w:val="20"/>
    </w:rPr>
  </w:style>
  <w:style w:type="character" w:customStyle="1" w:styleId="TextodenotaderodapChar">
    <w:name w:val="Texto de nota de rodapé Char"/>
    <w:basedOn w:val="Fontepargpadro"/>
    <w:link w:val="Textodenotaderodap"/>
    <w:uiPriority w:val="99"/>
    <w:rsid w:val="00DD6723"/>
    <w:rPr>
      <w:rFonts w:ascii="Arial Narrow" w:hAnsi="Arial Narrow" w:cs="DokChampa"/>
      <w:sz w:val="20"/>
      <w:szCs w:val="20"/>
    </w:rPr>
  </w:style>
  <w:style w:type="character" w:styleId="Refdenotaderodap">
    <w:name w:val="footnote reference"/>
    <w:basedOn w:val="Fontepargpadro"/>
    <w:uiPriority w:val="99"/>
    <w:semiHidden/>
    <w:unhideWhenUsed/>
    <w:rsid w:val="00DD6723"/>
    <w:rPr>
      <w:vertAlign w:val="superscript"/>
    </w:rPr>
  </w:style>
  <w:style w:type="character" w:customStyle="1" w:styleId="apple-converted-space">
    <w:name w:val="apple-converted-space"/>
    <w:basedOn w:val="Fontepargpadro"/>
    <w:rsid w:val="002D21D7"/>
  </w:style>
  <w:style w:type="paragraph" w:styleId="NormalWeb">
    <w:name w:val="Normal (Web)"/>
    <w:basedOn w:val="Normal"/>
    <w:uiPriority w:val="99"/>
    <w:semiHidden/>
    <w:unhideWhenUsed/>
    <w:rsid w:val="00D407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9650C"/>
    <w:rPr>
      <w:color w:val="0563C1" w:themeColor="hyperlink"/>
      <w:u w:val="single"/>
    </w:rPr>
  </w:style>
  <w:style w:type="character" w:customStyle="1" w:styleId="Mention">
    <w:name w:val="Mention"/>
    <w:basedOn w:val="Fontepargpadro"/>
    <w:uiPriority w:val="99"/>
    <w:semiHidden/>
    <w:unhideWhenUsed/>
    <w:rsid w:val="00C9650C"/>
    <w:rPr>
      <w:color w:val="2B579A"/>
      <w:shd w:val="clear" w:color="auto" w:fill="E6E6E6"/>
    </w:rPr>
  </w:style>
  <w:style w:type="paragraph" w:styleId="Cabealho">
    <w:name w:val="header"/>
    <w:basedOn w:val="Normal"/>
    <w:link w:val="CabealhoChar"/>
    <w:uiPriority w:val="99"/>
    <w:unhideWhenUsed/>
    <w:rsid w:val="00F711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11C6"/>
  </w:style>
  <w:style w:type="paragraph" w:styleId="Rodap">
    <w:name w:val="footer"/>
    <w:basedOn w:val="Normal"/>
    <w:link w:val="RodapChar"/>
    <w:uiPriority w:val="99"/>
    <w:unhideWhenUsed/>
    <w:rsid w:val="00F711C6"/>
    <w:pPr>
      <w:tabs>
        <w:tab w:val="center" w:pos="4252"/>
        <w:tab w:val="right" w:pos="8504"/>
      </w:tabs>
      <w:spacing w:after="0" w:line="240" w:lineRule="auto"/>
    </w:pPr>
  </w:style>
  <w:style w:type="character" w:customStyle="1" w:styleId="RodapChar">
    <w:name w:val="Rodapé Char"/>
    <w:basedOn w:val="Fontepargpadro"/>
    <w:link w:val="Rodap"/>
    <w:uiPriority w:val="99"/>
    <w:rsid w:val="00F711C6"/>
  </w:style>
  <w:style w:type="paragraph" w:styleId="Textodebalo">
    <w:name w:val="Balloon Text"/>
    <w:basedOn w:val="Normal"/>
    <w:link w:val="TextodebaloChar"/>
    <w:uiPriority w:val="99"/>
    <w:semiHidden/>
    <w:unhideWhenUsed/>
    <w:rsid w:val="00F711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11C6"/>
    <w:rPr>
      <w:rFonts w:ascii="Segoe UI" w:hAnsi="Segoe UI" w:cs="Segoe UI"/>
      <w:sz w:val="18"/>
      <w:szCs w:val="18"/>
    </w:rPr>
  </w:style>
  <w:style w:type="paragraph" w:customStyle="1" w:styleId="Default">
    <w:name w:val="Default"/>
    <w:rsid w:val="00226A81"/>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5600">
      <w:bodyDiv w:val="1"/>
      <w:marLeft w:val="0"/>
      <w:marRight w:val="0"/>
      <w:marTop w:val="0"/>
      <w:marBottom w:val="0"/>
      <w:divBdr>
        <w:top w:val="none" w:sz="0" w:space="0" w:color="auto"/>
        <w:left w:val="none" w:sz="0" w:space="0" w:color="auto"/>
        <w:bottom w:val="none" w:sz="0" w:space="0" w:color="auto"/>
        <w:right w:val="none" w:sz="0" w:space="0" w:color="auto"/>
      </w:divBdr>
    </w:div>
    <w:div w:id="1530139876">
      <w:bodyDiv w:val="1"/>
      <w:marLeft w:val="0"/>
      <w:marRight w:val="0"/>
      <w:marTop w:val="0"/>
      <w:marBottom w:val="0"/>
      <w:divBdr>
        <w:top w:val="none" w:sz="0" w:space="0" w:color="auto"/>
        <w:left w:val="none" w:sz="0" w:space="0" w:color="auto"/>
        <w:bottom w:val="none" w:sz="0" w:space="0" w:color="auto"/>
        <w:right w:val="none" w:sz="0" w:space="0" w:color="auto"/>
      </w:divBdr>
    </w:div>
    <w:div w:id="19022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1-2014/2012/Lei/L12651.htm" TargetMode="External"/><Relationship Id="rId1" Type="http://schemas.openxmlformats.org/officeDocument/2006/relationships/hyperlink" Target="http://www.planalto.gov.br/ccivil_03/_Ato2011-2014/2012/Lei/L1265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7FC2-0288-4DA3-B6FD-14BE17EE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3371</Words>
  <Characters>18206</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Tegon</dc:creator>
  <cp:lastModifiedBy>MPSP</cp:lastModifiedBy>
  <cp:revision>2</cp:revision>
  <cp:lastPrinted>2017-03-23T19:27:00Z</cp:lastPrinted>
  <dcterms:created xsi:type="dcterms:W3CDTF">2017-04-28T15:52:00Z</dcterms:created>
  <dcterms:modified xsi:type="dcterms:W3CDTF">2017-04-28T15:52:00Z</dcterms:modified>
</cp:coreProperties>
</file>