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22" w:rsidRPr="00BF1B9F" w:rsidRDefault="00AE4422" w:rsidP="00AE4422">
      <w:pPr>
        <w:spacing w:line="240" w:lineRule="auto"/>
        <w:ind w:firstLine="0"/>
        <w:jc w:val="center"/>
        <w:rPr>
          <w:b/>
        </w:rPr>
      </w:pPr>
      <w:r w:rsidRPr="00BF1B9F">
        <w:rPr>
          <w:b/>
        </w:rPr>
        <w:t>RESOLUÇÃO Nº          /2020-PGJ, de 16 de março de 2020</w:t>
      </w:r>
    </w:p>
    <w:p w:rsidR="00AE4422" w:rsidRPr="00BF1B9F" w:rsidRDefault="00AE4422" w:rsidP="00AE4422">
      <w:pPr>
        <w:spacing w:line="240" w:lineRule="auto"/>
        <w:ind w:firstLine="0"/>
        <w:jc w:val="center"/>
        <w:rPr>
          <w:b/>
        </w:rPr>
      </w:pPr>
      <w:r w:rsidRPr="00BF1B9F">
        <w:rPr>
          <w:b/>
        </w:rPr>
        <w:t>(Protocolado nº 18.294/20)</w:t>
      </w:r>
    </w:p>
    <w:p w:rsidR="00AE4422" w:rsidRPr="00BF1B9F" w:rsidRDefault="00AE4422" w:rsidP="00AE4422">
      <w:pPr>
        <w:spacing w:line="240" w:lineRule="auto"/>
        <w:ind w:firstLine="0"/>
        <w:rPr>
          <w:b/>
          <w:sz w:val="24"/>
          <w:szCs w:val="24"/>
        </w:rPr>
      </w:pPr>
    </w:p>
    <w:p w:rsidR="006600E2" w:rsidRPr="00BF1B9F" w:rsidRDefault="006600E2" w:rsidP="00AE4422">
      <w:pPr>
        <w:spacing w:line="240" w:lineRule="auto"/>
        <w:ind w:firstLine="0"/>
        <w:rPr>
          <w:b/>
          <w:sz w:val="24"/>
          <w:szCs w:val="24"/>
        </w:rPr>
      </w:pPr>
    </w:p>
    <w:p w:rsidR="006600E2" w:rsidRPr="00BF1B9F" w:rsidRDefault="006600E2" w:rsidP="00AE4422">
      <w:pPr>
        <w:spacing w:line="240" w:lineRule="auto"/>
        <w:ind w:firstLine="0"/>
        <w:rPr>
          <w:b/>
          <w:sz w:val="24"/>
          <w:szCs w:val="24"/>
        </w:rPr>
      </w:pPr>
    </w:p>
    <w:p w:rsidR="006600E2" w:rsidRPr="00BF1B9F" w:rsidRDefault="006600E2" w:rsidP="006600E2">
      <w:pPr>
        <w:ind w:left="4248" w:firstLine="0"/>
        <w:rPr>
          <w:sz w:val="24"/>
          <w:szCs w:val="24"/>
        </w:rPr>
      </w:pPr>
      <w:r w:rsidRPr="00BF1B9F">
        <w:rPr>
          <w:sz w:val="24"/>
          <w:szCs w:val="24"/>
        </w:rPr>
        <w:t xml:space="preserve">Estabelece normas temporárias e excepcionais de prevenção ao contágio pelo Novo </w:t>
      </w:r>
      <w:proofErr w:type="spellStart"/>
      <w:r w:rsidRPr="00BF1B9F">
        <w:rPr>
          <w:sz w:val="24"/>
          <w:szCs w:val="24"/>
        </w:rPr>
        <w:t>Coronavírus</w:t>
      </w:r>
      <w:proofErr w:type="spellEnd"/>
      <w:r w:rsidRPr="00BF1B9F">
        <w:rPr>
          <w:sz w:val="24"/>
          <w:szCs w:val="24"/>
        </w:rPr>
        <w:t xml:space="preserve"> (COVID 19), </w:t>
      </w:r>
      <w:r w:rsidR="00BA7E75">
        <w:rPr>
          <w:sz w:val="24"/>
          <w:szCs w:val="24"/>
        </w:rPr>
        <w:t xml:space="preserve">altera </w:t>
      </w:r>
      <w:r w:rsidRPr="00BF1B9F">
        <w:rPr>
          <w:sz w:val="24"/>
          <w:szCs w:val="24"/>
        </w:rPr>
        <w:t>a Resolução nº 1.195/2020-PGJ, de 12 de março de 2020</w:t>
      </w:r>
      <w:r w:rsidR="00BA7E75">
        <w:rPr>
          <w:sz w:val="24"/>
          <w:szCs w:val="24"/>
        </w:rPr>
        <w:t>, e dá outras providências</w:t>
      </w:r>
      <w:r w:rsidRPr="00BF1B9F">
        <w:rPr>
          <w:sz w:val="24"/>
          <w:szCs w:val="24"/>
        </w:rPr>
        <w:t>.</w:t>
      </w:r>
    </w:p>
    <w:p w:rsidR="00AE4422" w:rsidRPr="00BF1B9F" w:rsidRDefault="00AE4422" w:rsidP="00AE4422">
      <w:pPr>
        <w:spacing w:line="240" w:lineRule="auto"/>
        <w:ind w:firstLine="0"/>
        <w:rPr>
          <w:b/>
          <w:sz w:val="24"/>
          <w:szCs w:val="24"/>
        </w:rPr>
      </w:pPr>
    </w:p>
    <w:p w:rsidR="004C0050" w:rsidRPr="00BF1B9F" w:rsidRDefault="006600E2" w:rsidP="004C0050">
      <w:pPr>
        <w:ind w:firstLine="0"/>
      </w:pPr>
      <w:r w:rsidRPr="00BF1B9F">
        <w:rPr>
          <w:sz w:val="24"/>
          <w:szCs w:val="24"/>
        </w:rPr>
        <w:t xml:space="preserve"> </w:t>
      </w:r>
      <w:r w:rsidRPr="00BF1B9F">
        <w:rPr>
          <w:sz w:val="24"/>
          <w:szCs w:val="24"/>
        </w:rPr>
        <w:tab/>
      </w:r>
      <w:r w:rsidRPr="00BF1B9F">
        <w:t>O</w:t>
      </w:r>
      <w:r w:rsidRPr="00BF1B9F">
        <w:rPr>
          <w:b/>
        </w:rPr>
        <w:t xml:space="preserve"> PROCURADOR-GERAL DE JUSTIÇA</w:t>
      </w:r>
      <w:r w:rsidRPr="00BF1B9F">
        <w:t xml:space="preserve">, no uso de suas atribuições legais, </w:t>
      </w:r>
      <w:r w:rsidRPr="00BF1B9F">
        <w:rPr>
          <w:b/>
        </w:rPr>
        <w:t>CONSIDERANDO</w:t>
      </w:r>
      <w:r w:rsidRPr="00BF1B9F">
        <w:t xml:space="preserve"> a necessidade de </w:t>
      </w:r>
      <w:r w:rsidR="004C0050" w:rsidRPr="00BF1B9F">
        <w:t xml:space="preserve">aprimoramento das normas </w:t>
      </w:r>
      <w:r w:rsidRPr="00BF1B9F">
        <w:t xml:space="preserve">temporárias e excepcionais de prevenção ao contágio pelo Novo </w:t>
      </w:r>
      <w:proofErr w:type="spellStart"/>
      <w:r w:rsidRPr="00BF1B9F">
        <w:t>Coronavírus</w:t>
      </w:r>
      <w:proofErr w:type="spellEnd"/>
      <w:r w:rsidRPr="00BF1B9F">
        <w:t xml:space="preserve"> (COVID 19)</w:t>
      </w:r>
      <w:r w:rsidR="004C0050" w:rsidRPr="00BF1B9F">
        <w:t>;</w:t>
      </w:r>
    </w:p>
    <w:p w:rsidR="004C0050" w:rsidRPr="00BF1B9F" w:rsidRDefault="004C0050" w:rsidP="004C0050">
      <w:pPr>
        <w:ind w:firstLine="0"/>
      </w:pPr>
      <w:r w:rsidRPr="00BF1B9F">
        <w:t xml:space="preserve"> </w:t>
      </w:r>
      <w:r w:rsidRPr="00BF1B9F">
        <w:tab/>
      </w:r>
      <w:r w:rsidRPr="00BF1B9F">
        <w:rPr>
          <w:b/>
        </w:rPr>
        <w:t>CONSIDERANDO</w:t>
      </w:r>
      <w:r w:rsidRPr="00BF1B9F">
        <w:t xml:space="preserve"> os riscos da contaminação comunitária, a segurança da população</w:t>
      </w:r>
      <w:r w:rsidR="006600E2" w:rsidRPr="00BF1B9F">
        <w:t xml:space="preserve"> </w:t>
      </w:r>
      <w:r w:rsidRPr="00BF1B9F">
        <w:t>e a imprescindibilidade de nova normativa para além d</w:t>
      </w:r>
      <w:r w:rsidR="006600E2" w:rsidRPr="00BF1B9F">
        <w:t>a Resolução nº 1.195/2020-PGJ, de 12 de março de 2020</w:t>
      </w:r>
      <w:r w:rsidRPr="00BF1B9F">
        <w:t>;</w:t>
      </w:r>
      <w:r w:rsidR="006600E2" w:rsidRPr="00BF1B9F">
        <w:t xml:space="preserve"> </w:t>
      </w:r>
    </w:p>
    <w:p w:rsidR="006600E2" w:rsidRPr="00BF1B9F" w:rsidRDefault="004C0050" w:rsidP="004C0050">
      <w:pPr>
        <w:ind w:firstLine="0"/>
        <w:rPr>
          <w:b/>
        </w:rPr>
      </w:pPr>
      <w:r w:rsidRPr="00BF1B9F">
        <w:t xml:space="preserve"> </w:t>
      </w:r>
      <w:r w:rsidRPr="00BF1B9F">
        <w:tab/>
      </w:r>
      <w:r w:rsidRPr="00BF1B9F">
        <w:rPr>
          <w:b/>
        </w:rPr>
        <w:t>CONSIDERANDO</w:t>
      </w:r>
      <w:r w:rsidRPr="00BF1B9F">
        <w:t xml:space="preserve"> que essas medidas devem primar pela garantia da continuidade do serviço público e do funcionamento regular dos órgãos de Administração Superior, de Administração, de Execução e Auxiliares, compatibilizando-as com a emergência decorrente da pandemia acima mencionada, </w:t>
      </w:r>
      <w:r w:rsidR="006600E2" w:rsidRPr="00BF1B9F">
        <w:t>edita a seguinte</w:t>
      </w:r>
      <w:r w:rsidR="006600E2" w:rsidRPr="00BF1B9F">
        <w:rPr>
          <w:b/>
        </w:rPr>
        <w:t xml:space="preserve"> RESOLUÇÃO:</w:t>
      </w:r>
    </w:p>
    <w:p w:rsidR="006600E2" w:rsidRPr="00BF1B9F" w:rsidRDefault="006600E2" w:rsidP="006600E2">
      <w:pPr>
        <w:ind w:firstLine="0"/>
      </w:pPr>
      <w:r w:rsidRPr="00BF1B9F">
        <w:t xml:space="preserve">Art. 1º. Ficam suspensos, por 30 (trinta) dias, ressalvados os casos urgentes e inadiáveis: </w:t>
      </w:r>
    </w:p>
    <w:p w:rsidR="006600E2" w:rsidRPr="00BF1B9F" w:rsidRDefault="006600E2" w:rsidP="006600E2">
      <w:pPr>
        <w:ind w:firstLine="0"/>
      </w:pPr>
      <w:r w:rsidRPr="00BF1B9F">
        <w:t xml:space="preserve">I - </w:t>
      </w:r>
      <w:proofErr w:type="gramStart"/>
      <w:r w:rsidRPr="00BF1B9F">
        <w:t>o</w:t>
      </w:r>
      <w:proofErr w:type="gramEnd"/>
      <w:r w:rsidRPr="00BF1B9F">
        <w:t xml:space="preserve"> uso de auditórios</w:t>
      </w:r>
      <w:r w:rsidR="00940B41">
        <w:t>, das bibliotecas</w:t>
      </w:r>
      <w:r w:rsidR="004C0050" w:rsidRPr="00BF1B9F">
        <w:t>, do memorial</w:t>
      </w:r>
      <w:r w:rsidR="00D4371E" w:rsidRPr="00BF1B9F">
        <w:t xml:space="preserve"> e dependências similares</w:t>
      </w:r>
      <w:r w:rsidRPr="00BF1B9F">
        <w:t xml:space="preserve"> nos imóveis sob administração do Ministério Público;</w:t>
      </w:r>
    </w:p>
    <w:p w:rsidR="007429A3" w:rsidRPr="00BF1B9F" w:rsidRDefault="006600E2" w:rsidP="006600E2">
      <w:pPr>
        <w:ind w:firstLine="0"/>
      </w:pPr>
      <w:r w:rsidRPr="00BF1B9F">
        <w:t xml:space="preserve">II – </w:t>
      </w:r>
      <w:proofErr w:type="gramStart"/>
      <w:r w:rsidRPr="00BF1B9F">
        <w:t>o</w:t>
      </w:r>
      <w:proofErr w:type="gramEnd"/>
      <w:r w:rsidRPr="00BF1B9F">
        <w:t xml:space="preserve"> curso dos prazos </w:t>
      </w:r>
      <w:r w:rsidR="007429A3" w:rsidRPr="00BF1B9F">
        <w:t>n</w:t>
      </w:r>
      <w:r w:rsidRPr="00BF1B9F">
        <w:t>os processos administrativos disciplinares, inquéritos civis, procedimentos de investigação criminal</w:t>
      </w:r>
      <w:r w:rsidR="007429A3" w:rsidRPr="00BF1B9F">
        <w:t>, protocolados</w:t>
      </w:r>
      <w:r w:rsidRPr="00BF1B9F">
        <w:t xml:space="preserve"> e outros procedimentos sob a presidência de membro</w:t>
      </w:r>
      <w:r w:rsidR="00EB4F0D" w:rsidRPr="00BF1B9F">
        <w:t xml:space="preserve"> ou órgão</w:t>
      </w:r>
      <w:r w:rsidRPr="00BF1B9F">
        <w:t xml:space="preserve"> do Ministério Público</w:t>
      </w:r>
      <w:r w:rsidR="004A773B" w:rsidRPr="00BF1B9F">
        <w:t>;</w:t>
      </w:r>
    </w:p>
    <w:p w:rsidR="004A773B" w:rsidRPr="00BF1B9F" w:rsidRDefault="004A773B" w:rsidP="004A773B">
      <w:pPr>
        <w:ind w:firstLine="0"/>
      </w:pPr>
      <w:r w:rsidRPr="00BF1B9F">
        <w:lastRenderedPageBreak/>
        <w:t>III – as visitas em repartições policiais, civis e militares, órgãos de perícia técnica e aquartelamentos militares existentes em sua área de atribuição, estabelecimentos penais</w:t>
      </w:r>
      <w:r w:rsidR="0046323F" w:rsidRPr="00BF1B9F">
        <w:t>, unidades de semiliberdade e de internação, os serviços de acolhimento institucional e programas de acolhimento familiar, instituições que prestem serviços de longa permanência a idosos, e unidades executoras dos programas municipais de atendimento para a execução das medidas socioeducativas em meio aberto</w:t>
      </w:r>
      <w:r w:rsidRPr="00BF1B9F">
        <w:t xml:space="preserve"> sob sua responsabilidade, e a respectiva remessa de relatórios</w:t>
      </w:r>
      <w:r w:rsidR="005B1476" w:rsidRPr="00BF1B9F">
        <w:t>, previstos em resoluções do Conselho Nacional do Ministério Público e do Ministério Público do Estado de São Paulo</w:t>
      </w:r>
      <w:r w:rsidR="004C0050" w:rsidRPr="00BF1B9F">
        <w:t>, estabelecido sistema de monitoramento para situações emergenciais;</w:t>
      </w:r>
    </w:p>
    <w:p w:rsidR="004C0050" w:rsidRPr="00BF1B9F" w:rsidRDefault="004C0050" w:rsidP="004A773B">
      <w:pPr>
        <w:ind w:firstLine="0"/>
      </w:pPr>
      <w:r w:rsidRPr="00BF1B9F">
        <w:t xml:space="preserve">IV – </w:t>
      </w:r>
      <w:proofErr w:type="gramStart"/>
      <w:r w:rsidR="000E5FD9">
        <w:t>o</w:t>
      </w:r>
      <w:proofErr w:type="gramEnd"/>
      <w:r w:rsidR="000E5FD9">
        <w:t xml:space="preserve"> </w:t>
      </w:r>
      <w:r w:rsidRPr="00BF1B9F">
        <w:t>atendimento ao público;</w:t>
      </w:r>
    </w:p>
    <w:p w:rsidR="004C0050" w:rsidRPr="00BF1B9F" w:rsidRDefault="004C0050" w:rsidP="004A773B">
      <w:pPr>
        <w:ind w:firstLine="0"/>
      </w:pPr>
      <w:r w:rsidRPr="00BF1B9F">
        <w:t xml:space="preserve">V – </w:t>
      </w:r>
      <w:proofErr w:type="gramStart"/>
      <w:r w:rsidR="000E5FD9">
        <w:t>a</w:t>
      </w:r>
      <w:proofErr w:type="gramEnd"/>
      <w:r w:rsidR="000E5FD9">
        <w:t xml:space="preserve"> </w:t>
      </w:r>
      <w:r w:rsidRPr="00BF1B9F">
        <w:t>presença em ato de incineração de drogas;</w:t>
      </w:r>
    </w:p>
    <w:p w:rsidR="004C0050" w:rsidRDefault="004C0050" w:rsidP="004A773B">
      <w:pPr>
        <w:ind w:firstLine="0"/>
      </w:pPr>
      <w:r w:rsidRPr="00BF1B9F">
        <w:t xml:space="preserve">VI – </w:t>
      </w:r>
      <w:proofErr w:type="gramStart"/>
      <w:r w:rsidRPr="00BF1B9F">
        <w:t>as</w:t>
      </w:r>
      <w:proofErr w:type="gramEnd"/>
      <w:r w:rsidRPr="00BF1B9F">
        <w:t xml:space="preserve"> sessões e reuniões presenciais dos órgãos de Administração Superior, Administração, Execução e Auxiliares</w:t>
      </w:r>
      <w:r w:rsidR="006F15F8">
        <w:t>;</w:t>
      </w:r>
    </w:p>
    <w:p w:rsidR="006F15F8" w:rsidRPr="00BF1B9F" w:rsidRDefault="006F15F8" w:rsidP="004A773B">
      <w:pPr>
        <w:ind w:firstLine="0"/>
      </w:pPr>
      <w:r>
        <w:t xml:space="preserve">VII – as visitas monitoradas aos prédios </w:t>
      </w:r>
      <w:r w:rsidR="00940B41">
        <w:t>sob administração do Ministério Público.</w:t>
      </w:r>
    </w:p>
    <w:p w:rsidR="007429A3" w:rsidRPr="00BF1B9F" w:rsidRDefault="0046323F" w:rsidP="006600E2">
      <w:pPr>
        <w:ind w:firstLine="0"/>
      </w:pPr>
      <w:r w:rsidRPr="00BF1B9F">
        <w:t>§ 1º</w:t>
      </w:r>
      <w:r w:rsidR="007429A3" w:rsidRPr="00BF1B9F">
        <w:t xml:space="preserve">. O prazo indicado no </w:t>
      </w:r>
      <w:r w:rsidR="007429A3" w:rsidRPr="00BF1B9F">
        <w:rPr>
          <w:i/>
        </w:rPr>
        <w:t>caput</w:t>
      </w:r>
      <w:r w:rsidR="007429A3" w:rsidRPr="00BF1B9F">
        <w:t xml:space="preserve"> deste artigo poderá ser prorrogado</w:t>
      </w:r>
      <w:r w:rsidR="007C6B16" w:rsidRPr="00BF1B9F">
        <w:t xml:space="preserve"> por decisão do Procurador-Geral de Justiça.</w:t>
      </w:r>
    </w:p>
    <w:p w:rsidR="0046323F" w:rsidRPr="00BF1B9F" w:rsidRDefault="0046323F" w:rsidP="006600E2">
      <w:pPr>
        <w:ind w:firstLine="0"/>
      </w:pPr>
      <w:r w:rsidRPr="00BF1B9F">
        <w:t xml:space="preserve">§ 2º. </w:t>
      </w:r>
      <w:r w:rsidR="004C0050" w:rsidRPr="00BF1B9F">
        <w:t>O prazo de suspensão d</w:t>
      </w:r>
      <w:r w:rsidRPr="00BF1B9F">
        <w:t>os atos previstos no inciso III deste artigo fica vinculado à Resolução nº 208, de 13 de março de 2020, do Conselho Nacional do Ministério Público</w:t>
      </w:r>
      <w:r w:rsidR="005B1476" w:rsidRPr="00BF1B9F">
        <w:t>, e demais atos normativos correlatos.</w:t>
      </w:r>
    </w:p>
    <w:p w:rsidR="00AA4DDC" w:rsidRPr="00BF1B9F" w:rsidRDefault="00AA4DDC" w:rsidP="006600E2">
      <w:pPr>
        <w:ind w:firstLine="0"/>
      </w:pPr>
      <w:r w:rsidRPr="00BF1B9F">
        <w:t xml:space="preserve">§ 3. Cabe ao membro do Ministério Público ou aos órgãos acima referidos avaliar, a seu critério, a urgência e a </w:t>
      </w:r>
      <w:proofErr w:type="spellStart"/>
      <w:r w:rsidRPr="00BF1B9F">
        <w:t>inadiabilidade</w:t>
      </w:r>
      <w:proofErr w:type="spellEnd"/>
      <w:r w:rsidRPr="00BF1B9F">
        <w:t xml:space="preserve">.  </w:t>
      </w:r>
    </w:p>
    <w:p w:rsidR="00033C6D" w:rsidRPr="00BF1B9F" w:rsidRDefault="00DB3FA9" w:rsidP="006600E2">
      <w:pPr>
        <w:ind w:firstLine="0"/>
      </w:pPr>
      <w:r w:rsidRPr="00BF1B9F">
        <w:t>Art. 2º</w:t>
      </w:r>
      <w:r w:rsidR="00033C6D" w:rsidRPr="00BF1B9F">
        <w:t>. O Conselho Superior e o Colégio de Procuradores de Justiça, inclusive seu Órgão Especial, poderão</w:t>
      </w:r>
      <w:r w:rsidR="00AA4DDC" w:rsidRPr="00BF1B9F">
        <w:t>, nos casos urgentes e inadiáveis, realizar</w:t>
      </w:r>
      <w:r w:rsidR="00C51FA7" w:rsidRPr="00BF1B9F">
        <w:t xml:space="preserve"> reuniões virtuais</w:t>
      </w:r>
      <w:r w:rsidRPr="00BF1B9F">
        <w:t xml:space="preserve"> ou à distância,</w:t>
      </w:r>
      <w:r w:rsidR="00C51FA7" w:rsidRPr="00BF1B9F">
        <w:t xml:space="preserve"> mediante prévio aviso publicado na imprensa oficial.</w:t>
      </w:r>
    </w:p>
    <w:p w:rsidR="00C51FA7" w:rsidRPr="00BF1B9F" w:rsidRDefault="00C51FA7" w:rsidP="006600E2">
      <w:pPr>
        <w:ind w:firstLine="0"/>
      </w:pPr>
      <w:r w:rsidRPr="00BF1B9F">
        <w:t xml:space="preserve">§ </w:t>
      </w:r>
      <w:r w:rsidR="00DB3FA9" w:rsidRPr="00BF1B9F">
        <w:t>1</w:t>
      </w:r>
      <w:r w:rsidRPr="00BF1B9F">
        <w:t xml:space="preserve">º. Para os fins do disposto neste artigo, </w:t>
      </w:r>
      <w:r w:rsidR="00DB3FA9" w:rsidRPr="00BF1B9F">
        <w:t xml:space="preserve">e </w:t>
      </w:r>
      <w:r w:rsidRPr="00BF1B9F">
        <w:t>sem prejuízo de realização de reunião à distância por meio da tecnologia da informação</w:t>
      </w:r>
      <w:r w:rsidR="00DB3FA9" w:rsidRPr="00BF1B9F">
        <w:t xml:space="preserve">, serão observadas as seguintes </w:t>
      </w:r>
      <w:r w:rsidR="00DB3FA9" w:rsidRPr="00BF1B9F">
        <w:lastRenderedPageBreak/>
        <w:t>regras nas situações em que exista a necessidade de julgamento, adotada a forma virtual</w:t>
      </w:r>
      <w:r w:rsidRPr="00BF1B9F">
        <w:t>:</w:t>
      </w:r>
    </w:p>
    <w:p w:rsidR="00C51FA7" w:rsidRPr="00BF1B9F" w:rsidRDefault="00C51FA7" w:rsidP="00C51FA7">
      <w:pPr>
        <w:ind w:firstLine="0"/>
      </w:pPr>
      <w:r w:rsidRPr="00BF1B9F">
        <w:t>I –</w:t>
      </w:r>
      <w:r w:rsidR="00DB3FA9" w:rsidRPr="00BF1B9F">
        <w:t xml:space="preserve"> </w:t>
      </w:r>
      <w:proofErr w:type="gramStart"/>
      <w:r w:rsidRPr="00BF1B9F">
        <w:t>o</w:t>
      </w:r>
      <w:proofErr w:type="gramEnd"/>
      <w:r w:rsidRPr="00BF1B9F">
        <w:t xml:space="preserve"> relator encaminhará seu voto aos demais componentes do colegiado por mensagem eletrônica;</w:t>
      </w:r>
    </w:p>
    <w:p w:rsidR="00C51FA7" w:rsidRPr="00BF1B9F" w:rsidRDefault="00C51FA7" w:rsidP="00C51FA7">
      <w:pPr>
        <w:ind w:firstLine="0"/>
      </w:pPr>
      <w:r w:rsidRPr="00BF1B9F">
        <w:t xml:space="preserve">II – </w:t>
      </w:r>
      <w:proofErr w:type="gramStart"/>
      <w:r w:rsidRPr="00BF1B9F">
        <w:t>os</w:t>
      </w:r>
      <w:proofErr w:type="gramEnd"/>
      <w:r w:rsidRPr="00BF1B9F">
        <w:t xml:space="preserve"> demais componentes do colegiado poder</w:t>
      </w:r>
      <w:r w:rsidR="002C055D">
        <w:t>ão</w:t>
      </w:r>
      <w:r w:rsidRPr="00BF1B9F">
        <w:t xml:space="preserve"> requisitar os autos para exame e vista, manifesta</w:t>
      </w:r>
      <w:r w:rsidR="002C055D">
        <w:t>ndo</w:t>
      </w:r>
      <w:r w:rsidRPr="00BF1B9F">
        <w:t xml:space="preserve"> sua adesão</w:t>
      </w:r>
      <w:r w:rsidR="00DB3FA9" w:rsidRPr="00BF1B9F">
        <w:t>,</w:t>
      </w:r>
      <w:r w:rsidRPr="00BF1B9F">
        <w:t xml:space="preserve"> transmitida igualmente por mensagem eletrônica</w:t>
      </w:r>
      <w:r w:rsidR="00DB3FA9" w:rsidRPr="00BF1B9F">
        <w:t>;</w:t>
      </w:r>
    </w:p>
    <w:p w:rsidR="00DB3FA9" w:rsidRPr="00BF1B9F" w:rsidRDefault="00DB3FA9" w:rsidP="00DB3FA9">
      <w:pPr>
        <w:ind w:firstLine="0"/>
        <w:rPr>
          <w:bCs w:val="0"/>
          <w:kern w:val="0"/>
        </w:rPr>
      </w:pPr>
      <w:r w:rsidRPr="00BF1B9F">
        <w:t xml:space="preserve">III – havendo divergência, </w:t>
      </w:r>
      <w:r w:rsidR="00C51FA7" w:rsidRPr="00BF1B9F">
        <w:rPr>
          <w:bCs w:val="0"/>
          <w:kern w:val="0"/>
        </w:rPr>
        <w:t>o discordante elaborará seu voto e o transmitirá ao relator e ao</w:t>
      </w:r>
      <w:r w:rsidRPr="00BF1B9F">
        <w:rPr>
          <w:bCs w:val="0"/>
          <w:kern w:val="0"/>
        </w:rPr>
        <w:t>s</w:t>
      </w:r>
      <w:r w:rsidR="00C51FA7" w:rsidRPr="00BF1B9F">
        <w:rPr>
          <w:bCs w:val="0"/>
          <w:kern w:val="0"/>
        </w:rPr>
        <w:t xml:space="preserve"> outro</w:t>
      </w:r>
      <w:r w:rsidRPr="00BF1B9F">
        <w:rPr>
          <w:bCs w:val="0"/>
          <w:kern w:val="0"/>
        </w:rPr>
        <w:t>s componentes do colegiado, e</w:t>
      </w:r>
      <w:r w:rsidR="00C51FA7" w:rsidRPr="00BF1B9F">
        <w:rPr>
          <w:bCs w:val="0"/>
          <w:kern w:val="0"/>
        </w:rPr>
        <w:t xml:space="preserve"> </w:t>
      </w:r>
      <w:r w:rsidRPr="00BF1B9F">
        <w:rPr>
          <w:bCs w:val="0"/>
          <w:kern w:val="0"/>
        </w:rPr>
        <w:t>se c</w:t>
      </w:r>
      <w:r w:rsidR="00C51FA7" w:rsidRPr="00BF1B9F">
        <w:rPr>
          <w:bCs w:val="0"/>
          <w:kern w:val="0"/>
        </w:rPr>
        <w:t xml:space="preserve">onfirmado o voto original pelo relator, dar-se-á sua publicação e o do </w:t>
      </w:r>
      <w:r w:rsidRPr="00BF1B9F">
        <w:rPr>
          <w:bCs w:val="0"/>
          <w:kern w:val="0"/>
        </w:rPr>
        <w:t>membro</w:t>
      </w:r>
      <w:r w:rsidR="00C51FA7" w:rsidRPr="00BF1B9F">
        <w:rPr>
          <w:bCs w:val="0"/>
          <w:kern w:val="0"/>
        </w:rPr>
        <w:t xml:space="preserve"> discordante, prevalecendo, para</w:t>
      </w:r>
      <w:r w:rsidRPr="00BF1B9F">
        <w:rPr>
          <w:bCs w:val="0"/>
          <w:kern w:val="0"/>
        </w:rPr>
        <w:t xml:space="preserve"> efeito do resultado</w:t>
      </w:r>
      <w:r w:rsidR="00C51FA7" w:rsidRPr="00BF1B9F">
        <w:rPr>
          <w:bCs w:val="0"/>
          <w:kern w:val="0"/>
        </w:rPr>
        <w:t xml:space="preserve">, aquele que for acolhido pela maioria. </w:t>
      </w:r>
    </w:p>
    <w:p w:rsidR="00C51FA7" w:rsidRPr="00BF1B9F" w:rsidRDefault="00DB3FA9" w:rsidP="00DB3FA9">
      <w:pPr>
        <w:ind w:firstLine="0"/>
        <w:rPr>
          <w:bCs w:val="0"/>
          <w:kern w:val="0"/>
        </w:rPr>
      </w:pPr>
      <w:r w:rsidRPr="00BF1B9F">
        <w:rPr>
          <w:bCs w:val="0"/>
          <w:kern w:val="0"/>
        </w:rPr>
        <w:t xml:space="preserve">IV - </w:t>
      </w:r>
      <w:proofErr w:type="gramStart"/>
      <w:r w:rsidRPr="00BF1B9F">
        <w:rPr>
          <w:bCs w:val="0"/>
          <w:kern w:val="0"/>
        </w:rPr>
        <w:t>n</w:t>
      </w:r>
      <w:r w:rsidR="00C51FA7" w:rsidRPr="00BF1B9F">
        <w:rPr>
          <w:bCs w:val="0"/>
          <w:kern w:val="0"/>
        </w:rPr>
        <w:t>ão</w:t>
      </w:r>
      <w:proofErr w:type="gramEnd"/>
      <w:r w:rsidR="00C51FA7" w:rsidRPr="00BF1B9F">
        <w:rPr>
          <w:bCs w:val="0"/>
          <w:kern w:val="0"/>
        </w:rPr>
        <w:t xml:space="preserve"> manifestada divergência ou ocorrendo o consenso, o voto do relator</w:t>
      </w:r>
      <w:r w:rsidRPr="00BF1B9F">
        <w:rPr>
          <w:bCs w:val="0"/>
          <w:kern w:val="0"/>
        </w:rPr>
        <w:t>, originário ou do membro</w:t>
      </w:r>
      <w:r w:rsidR="00C51FA7" w:rsidRPr="00BF1B9F">
        <w:rPr>
          <w:bCs w:val="0"/>
          <w:kern w:val="0"/>
        </w:rPr>
        <w:t xml:space="preserve"> para tal designado</w:t>
      </w:r>
      <w:r w:rsidRPr="00BF1B9F">
        <w:rPr>
          <w:bCs w:val="0"/>
          <w:kern w:val="0"/>
        </w:rPr>
        <w:t>,</w:t>
      </w:r>
      <w:r w:rsidR="00C51FA7" w:rsidRPr="00BF1B9F">
        <w:rPr>
          <w:bCs w:val="0"/>
          <w:kern w:val="0"/>
        </w:rPr>
        <w:t xml:space="preserve"> servirá como </w:t>
      </w:r>
      <w:r w:rsidRPr="00BF1B9F">
        <w:rPr>
          <w:bCs w:val="0"/>
          <w:kern w:val="0"/>
        </w:rPr>
        <w:t xml:space="preserve">decisão, inclusive para fins </w:t>
      </w:r>
      <w:r w:rsidR="00C51FA7" w:rsidRPr="00BF1B9F">
        <w:rPr>
          <w:bCs w:val="0"/>
          <w:kern w:val="0"/>
        </w:rPr>
        <w:t>publicação na imprensa oficial.</w:t>
      </w:r>
    </w:p>
    <w:p w:rsidR="00C51FA7" w:rsidRPr="00BF1B9F" w:rsidRDefault="00DB3FA9" w:rsidP="00DB3FA9">
      <w:pPr>
        <w:ind w:firstLine="0"/>
        <w:rPr>
          <w:bCs w:val="0"/>
          <w:kern w:val="0"/>
        </w:rPr>
      </w:pPr>
      <w:r w:rsidRPr="00BF1B9F">
        <w:rPr>
          <w:bCs w:val="0"/>
          <w:kern w:val="0"/>
        </w:rPr>
        <w:t xml:space="preserve">§ 2º. </w:t>
      </w:r>
      <w:r w:rsidR="00C51FA7" w:rsidRPr="00BF1B9F">
        <w:rPr>
          <w:bCs w:val="0"/>
          <w:kern w:val="0"/>
        </w:rPr>
        <w:t>A adoção da forma de julgamento virtual não implica quebra da periodicidade das sessões.</w:t>
      </w:r>
    </w:p>
    <w:p w:rsidR="007429A3" w:rsidRPr="00BF1B9F" w:rsidRDefault="007429A3" w:rsidP="006600E2">
      <w:pPr>
        <w:ind w:firstLine="0"/>
      </w:pPr>
      <w:r w:rsidRPr="00BF1B9F">
        <w:t xml:space="preserve">Art. </w:t>
      </w:r>
      <w:r w:rsidR="00DB3FA9" w:rsidRPr="00BF1B9F">
        <w:t>3</w:t>
      </w:r>
      <w:r w:rsidRPr="00BF1B9F">
        <w:t xml:space="preserve">º. O acesso e o </w:t>
      </w:r>
      <w:r w:rsidR="007C6B16" w:rsidRPr="00BF1B9F">
        <w:t>trânsito na</w:t>
      </w:r>
      <w:r w:rsidRPr="00BF1B9F">
        <w:t xml:space="preserve">s dependências dos imóveis sob administração do Ministério Público </w:t>
      </w:r>
      <w:r w:rsidR="00AA4DDC" w:rsidRPr="00BF1B9F">
        <w:t>ficam</w:t>
      </w:r>
      <w:r w:rsidR="007C6B16" w:rsidRPr="00BF1B9F">
        <w:t xml:space="preserve"> </w:t>
      </w:r>
      <w:r w:rsidRPr="00BF1B9F">
        <w:t>limitado</w:t>
      </w:r>
      <w:r w:rsidR="007C6B16" w:rsidRPr="00BF1B9F">
        <w:t>s, por 30 (trinta) dias,</w:t>
      </w:r>
      <w:r w:rsidRPr="00BF1B9F">
        <w:t xml:space="preserve"> aos membros, servidores e estagiários do Ministério Público</w:t>
      </w:r>
      <w:r w:rsidR="007C6B16" w:rsidRPr="00BF1B9F">
        <w:t>,</w:t>
      </w:r>
      <w:r w:rsidRPr="00BF1B9F">
        <w:t xml:space="preserve"> inclusive</w:t>
      </w:r>
      <w:r w:rsidR="00D4371E" w:rsidRPr="00BF1B9F">
        <w:t xml:space="preserve"> ao pessoal</w:t>
      </w:r>
      <w:r w:rsidRPr="00BF1B9F">
        <w:t xml:space="preserve"> decorrente de contrato</w:t>
      </w:r>
      <w:r w:rsidR="007C6B16" w:rsidRPr="00BF1B9F">
        <w:t>s</w:t>
      </w:r>
      <w:r w:rsidRPr="00BF1B9F">
        <w:t xml:space="preserve"> de prestação de serviços</w:t>
      </w:r>
      <w:r w:rsidR="00D4371E" w:rsidRPr="00BF1B9F">
        <w:t xml:space="preserve"> ou qualquer espécie de parceria ou ajuste</w:t>
      </w:r>
      <w:r w:rsidRPr="00BF1B9F">
        <w:t>,</w:t>
      </w:r>
      <w:r w:rsidR="00EB4F0D" w:rsidRPr="00BF1B9F">
        <w:t xml:space="preserve"> bem como</w:t>
      </w:r>
      <w:r w:rsidRPr="00BF1B9F">
        <w:t xml:space="preserve"> magistrados, advogados, policiais civis e militares, defensores públicos,</w:t>
      </w:r>
      <w:r w:rsidR="00EB4F0D" w:rsidRPr="00BF1B9F">
        <w:t xml:space="preserve"> e outras autoridades,</w:t>
      </w:r>
      <w:r w:rsidRPr="00BF1B9F">
        <w:t xml:space="preserve"> e àqueles que participarem de atos</w:t>
      </w:r>
      <w:r w:rsidR="001A2C73" w:rsidRPr="00BF1B9F">
        <w:t xml:space="preserve"> determinados</w:t>
      </w:r>
      <w:r w:rsidRPr="00BF1B9F">
        <w:t xml:space="preserve"> ou comprovarem a necessidade de ingresso.</w:t>
      </w:r>
    </w:p>
    <w:p w:rsidR="00EB4F0D" w:rsidRPr="00BF1B9F" w:rsidRDefault="007C6B16" w:rsidP="006600E2">
      <w:pPr>
        <w:ind w:firstLine="0"/>
      </w:pPr>
      <w:r w:rsidRPr="00BF1B9F">
        <w:t>§ 1º</w:t>
      </w:r>
      <w:r w:rsidR="00EB4F0D" w:rsidRPr="00BF1B9F">
        <w:t xml:space="preserve">. </w:t>
      </w:r>
      <w:r w:rsidR="001A2C73" w:rsidRPr="00BF1B9F">
        <w:t xml:space="preserve">O disposto no </w:t>
      </w:r>
      <w:r w:rsidR="001A2C73" w:rsidRPr="00BF1B9F">
        <w:rPr>
          <w:i/>
        </w:rPr>
        <w:t xml:space="preserve">caput </w:t>
      </w:r>
      <w:r w:rsidR="001A2C73" w:rsidRPr="00BF1B9F">
        <w:t>deste artigo aplica-se aos</w:t>
      </w:r>
      <w:r w:rsidR="00EB4F0D" w:rsidRPr="00BF1B9F">
        <w:t xml:space="preserve"> gabinetes das Promotorias e Procuradorias de Justiça, dos Grupos de Atuação Especial</w:t>
      </w:r>
      <w:r w:rsidR="00BC3A9D">
        <w:t xml:space="preserve"> e </w:t>
      </w:r>
      <w:r w:rsidR="00D4371E" w:rsidRPr="00BF1B9F">
        <w:t>dos órgãos de Administração Superior ou Auxiliares</w:t>
      </w:r>
      <w:r w:rsidR="001A2C73" w:rsidRPr="00BF1B9F">
        <w:t>,</w:t>
      </w:r>
      <w:r w:rsidR="00D4371E" w:rsidRPr="00BF1B9F">
        <w:t xml:space="preserve"> </w:t>
      </w:r>
      <w:r w:rsidR="00EB4F0D" w:rsidRPr="00BF1B9F">
        <w:t>salvo critério</w:t>
      </w:r>
      <w:r w:rsidR="001A2C73" w:rsidRPr="00BF1B9F">
        <w:t xml:space="preserve"> diverso</w:t>
      </w:r>
      <w:r w:rsidR="00EB4F0D" w:rsidRPr="00BF1B9F">
        <w:t xml:space="preserve"> adotado pelo respectivo membro.</w:t>
      </w:r>
    </w:p>
    <w:p w:rsidR="007C6B16" w:rsidRPr="00BF1B9F" w:rsidRDefault="007C6B16" w:rsidP="006600E2">
      <w:pPr>
        <w:ind w:firstLine="0"/>
      </w:pPr>
      <w:r w:rsidRPr="00BF1B9F">
        <w:lastRenderedPageBreak/>
        <w:t xml:space="preserve">§ 2º. O prazo indicado no </w:t>
      </w:r>
      <w:r w:rsidRPr="00BF1B9F">
        <w:rPr>
          <w:i/>
        </w:rPr>
        <w:t>caput</w:t>
      </w:r>
      <w:r w:rsidRPr="00BF1B9F">
        <w:t xml:space="preserve"> deste artigo poderá ser prorrogado por decisão do Procurador-Geral de Justiça.</w:t>
      </w:r>
    </w:p>
    <w:p w:rsidR="007429A3" w:rsidRPr="00BF1B9F" w:rsidRDefault="007429A3" w:rsidP="006600E2">
      <w:pPr>
        <w:ind w:firstLine="0"/>
      </w:pPr>
      <w:r w:rsidRPr="00BF1B9F">
        <w:t xml:space="preserve">Art. </w:t>
      </w:r>
      <w:r w:rsidR="00DB3FA9" w:rsidRPr="00BF1B9F">
        <w:t>4</w:t>
      </w:r>
      <w:r w:rsidRPr="00BF1B9F">
        <w:t xml:space="preserve">º. </w:t>
      </w:r>
      <w:r w:rsidR="00EB4F0D" w:rsidRPr="00BF1B9F">
        <w:t xml:space="preserve">O membro do Ministério Público, sempre que for possível, deverá dar preferência </w:t>
      </w:r>
      <w:r w:rsidR="00BC3A9D">
        <w:t>à</w:t>
      </w:r>
      <w:r w:rsidR="00EB4F0D" w:rsidRPr="00BF1B9F">
        <w:t xml:space="preserve"> realização de reuniões virtuais, e, se impossibilitada, </w:t>
      </w:r>
      <w:r w:rsidR="001A2C73" w:rsidRPr="00BF1B9F">
        <w:t xml:space="preserve">observar </w:t>
      </w:r>
      <w:r w:rsidR="00EB4F0D" w:rsidRPr="00BF1B9F">
        <w:t>a presença do número mínimo de pessoas.</w:t>
      </w:r>
    </w:p>
    <w:p w:rsidR="00AA4DDC" w:rsidRPr="00BF1B9F" w:rsidRDefault="00EB4F0D" w:rsidP="006600E2">
      <w:pPr>
        <w:ind w:firstLine="0"/>
      </w:pPr>
      <w:r w:rsidRPr="00BF1B9F">
        <w:t xml:space="preserve">Art. </w:t>
      </w:r>
      <w:r w:rsidR="00DB3FA9" w:rsidRPr="00BF1B9F">
        <w:t>5</w:t>
      </w:r>
      <w:r w:rsidRPr="00BF1B9F">
        <w:t>º.</w:t>
      </w:r>
      <w:r w:rsidR="00AA4DDC" w:rsidRPr="00BF1B9F">
        <w:t xml:space="preserve"> Fica adotado o regime de teletrabalho para os membros, servidores e estagiários do Ministério Público pelo prazo de</w:t>
      </w:r>
      <w:r w:rsidR="000E5FD9">
        <w:t xml:space="preserve"> 30</w:t>
      </w:r>
      <w:r w:rsidR="00AA4DDC" w:rsidRPr="00BF1B9F">
        <w:t xml:space="preserve"> </w:t>
      </w:r>
      <w:r w:rsidR="000E5FD9">
        <w:t>(</w:t>
      </w:r>
      <w:r w:rsidR="00AA4DDC" w:rsidRPr="00BF1B9F">
        <w:t>trinta dias</w:t>
      </w:r>
      <w:r w:rsidR="000E5FD9">
        <w:t>)</w:t>
      </w:r>
      <w:r w:rsidR="00AA4DDC" w:rsidRPr="00BF1B9F">
        <w:t xml:space="preserve">, prorrogável por decisão do Procurador-Geral. </w:t>
      </w:r>
    </w:p>
    <w:p w:rsidR="000E5FD9" w:rsidRDefault="00BF1B9F" w:rsidP="006600E2">
      <w:pPr>
        <w:ind w:firstLine="0"/>
      </w:pPr>
      <w:r w:rsidRPr="00BF1B9F">
        <w:t>§ 1</w:t>
      </w:r>
      <w:r w:rsidR="000E5FD9">
        <w:t>º</w:t>
      </w:r>
      <w:r w:rsidRPr="00BF1B9F">
        <w:t xml:space="preserve">. </w:t>
      </w:r>
      <w:r w:rsidR="00BA7E75">
        <w:t>A prática de atos judiciais, inclusive a participação em audiências, observará a regulamentação expedida pelo Tribunal de Justiça do Estado de São Paulo.</w:t>
      </w:r>
    </w:p>
    <w:p w:rsidR="00AA4DDC" w:rsidRPr="00BF1B9F" w:rsidRDefault="00BA7E75" w:rsidP="006600E2">
      <w:pPr>
        <w:ind w:firstLine="0"/>
      </w:pPr>
      <w:r>
        <w:t xml:space="preserve">§ 2º. </w:t>
      </w:r>
      <w:r w:rsidR="00AA4DDC" w:rsidRPr="00BF1B9F">
        <w:t xml:space="preserve">Durante </w:t>
      </w:r>
      <w:r>
        <w:t xml:space="preserve">o </w:t>
      </w:r>
      <w:r w:rsidR="00AA4DDC" w:rsidRPr="00BF1B9F">
        <w:t>período</w:t>
      </w:r>
      <w:r>
        <w:t xml:space="preserve"> referido no </w:t>
      </w:r>
      <w:r>
        <w:rPr>
          <w:i/>
        </w:rPr>
        <w:t>caput</w:t>
      </w:r>
      <w:r>
        <w:t xml:space="preserve"> deste artigo</w:t>
      </w:r>
      <w:r w:rsidR="00AA4DDC" w:rsidRPr="00BF1B9F">
        <w:t xml:space="preserve"> as Promotorias e Procuradorias de Justiça, os Grupos de Atuação Especial </w:t>
      </w:r>
      <w:r>
        <w:t xml:space="preserve">e </w:t>
      </w:r>
      <w:r w:rsidR="00BF1B9F" w:rsidRPr="00BF1B9F">
        <w:t>os</w:t>
      </w:r>
      <w:r w:rsidR="00AA4DDC" w:rsidRPr="00BF1B9F">
        <w:t xml:space="preserve"> órgãos de Administração Superior</w:t>
      </w:r>
      <w:r>
        <w:t xml:space="preserve"> </w:t>
      </w:r>
      <w:r w:rsidR="00AA4DDC" w:rsidRPr="00BF1B9F">
        <w:t>e Auxiliares, estabelecerão escala de serviço</w:t>
      </w:r>
      <w:r w:rsidR="00836E9D">
        <w:t xml:space="preserve"> presencial</w:t>
      </w:r>
      <w:r w:rsidR="00AA4DDC" w:rsidRPr="00BF1B9F">
        <w:t>, de acordo com seus critérios</w:t>
      </w:r>
      <w:r w:rsidR="00BC3A9D">
        <w:t>,</w:t>
      </w:r>
      <w:r w:rsidR="00AA4DDC" w:rsidRPr="00BF1B9F">
        <w:t xml:space="preserve"> </w:t>
      </w:r>
      <w:r w:rsidR="000E5FD9">
        <w:t xml:space="preserve">para </w:t>
      </w:r>
      <w:r w:rsidR="00AA4DDC" w:rsidRPr="00BF1B9F">
        <w:t>assegurar a regular manutenção e continuidade d</w:t>
      </w:r>
      <w:r w:rsidR="000E5FD9">
        <w:t>e</w:t>
      </w:r>
      <w:r w:rsidR="00AA4DDC" w:rsidRPr="00BF1B9F">
        <w:t xml:space="preserve"> s</w:t>
      </w:r>
      <w:r w:rsidR="000E5FD9">
        <w:t>uas atividades</w:t>
      </w:r>
      <w:r>
        <w:t xml:space="preserve"> judiciais e extrajudiciais</w:t>
      </w:r>
      <w:r w:rsidR="000E5FD9">
        <w:t>, por meio de rodízio e de forma igualitária</w:t>
      </w:r>
      <w:r w:rsidR="00AA4DDC" w:rsidRPr="00BF1B9F">
        <w:t>.</w:t>
      </w:r>
    </w:p>
    <w:p w:rsidR="00AA4DDC" w:rsidRPr="00BF1B9F" w:rsidRDefault="00BF1B9F" w:rsidP="006600E2">
      <w:pPr>
        <w:ind w:firstLine="0"/>
      </w:pPr>
      <w:r w:rsidRPr="00BF1B9F">
        <w:t xml:space="preserve">§ </w:t>
      </w:r>
      <w:r w:rsidR="00BA7E75">
        <w:t>3</w:t>
      </w:r>
      <w:r w:rsidRPr="00BF1B9F">
        <w:t xml:space="preserve">°. </w:t>
      </w:r>
      <w:r w:rsidR="00AA4DDC" w:rsidRPr="00BF1B9F">
        <w:t>A escala acima referida deverá assegurar a presença de número mínimo de membros e servidores, observad</w:t>
      </w:r>
      <w:r w:rsidR="000E5FD9">
        <w:t>a</w:t>
      </w:r>
      <w:r w:rsidR="00AA4DDC" w:rsidRPr="00BF1B9F">
        <w:t xml:space="preserve"> a proporcionalidade relativamente </w:t>
      </w:r>
      <w:r w:rsidRPr="00BF1B9F">
        <w:t>à</w:t>
      </w:r>
      <w:r w:rsidR="00BC3A9D">
        <w:t>quela</w:t>
      </w:r>
      <w:r w:rsidRPr="00BF1B9F">
        <w:t xml:space="preserve"> </w:t>
      </w:r>
      <w:r w:rsidR="009F44AE">
        <w:t xml:space="preserve">fixada </w:t>
      </w:r>
      <w:r w:rsidRPr="00BF1B9F">
        <w:t>pelo Poder Judiciário.</w:t>
      </w:r>
    </w:p>
    <w:p w:rsidR="00BF1B9F" w:rsidRPr="00BF1B9F" w:rsidRDefault="00BF1B9F" w:rsidP="006600E2">
      <w:pPr>
        <w:ind w:firstLine="0"/>
      </w:pPr>
      <w:r w:rsidRPr="00BF1B9F">
        <w:t xml:space="preserve">§ </w:t>
      </w:r>
      <w:r w:rsidR="00BA7E75">
        <w:t>4</w:t>
      </w:r>
      <w:r w:rsidRPr="00BF1B9F">
        <w:t xml:space="preserve">°. O teletrabalho, fixado nos termos dessa resolução, </w:t>
      </w:r>
      <w:r w:rsidR="00836E9D">
        <w:t xml:space="preserve">bem como os atos praticados em substituição automática, </w:t>
      </w:r>
      <w:r w:rsidRPr="00BF1B9F">
        <w:t>não ensejar</w:t>
      </w:r>
      <w:r w:rsidR="00836E9D">
        <w:t>ão</w:t>
      </w:r>
      <w:r w:rsidRPr="00BF1B9F">
        <w:t xml:space="preserve"> a percepção de gratificação</w:t>
      </w:r>
      <w:r w:rsidR="00836E9D">
        <w:t>,</w:t>
      </w:r>
      <w:r w:rsidRPr="00BF1B9F">
        <w:t xml:space="preserve"> compensação futura</w:t>
      </w:r>
      <w:r w:rsidR="00836E9D">
        <w:t>, ou qualquer outro efeito financeiro</w:t>
      </w:r>
      <w:r w:rsidRPr="00BF1B9F">
        <w:t>.</w:t>
      </w:r>
    </w:p>
    <w:p w:rsidR="00AA4DDC" w:rsidRDefault="00BF1B9F" w:rsidP="006600E2">
      <w:pPr>
        <w:ind w:firstLine="0"/>
      </w:pPr>
      <w:r w:rsidRPr="00BF1B9F">
        <w:t xml:space="preserve">§ </w:t>
      </w:r>
      <w:r w:rsidR="00BA7E75">
        <w:t>5</w:t>
      </w:r>
      <w:r w:rsidRPr="00BF1B9F">
        <w:t>°. A escala será comunicada ao Poder Judiciário, à Procuradoria-Geral de Justiça e à Corregedoria-Geral do Ministério Público do Estado de São Paulo.</w:t>
      </w:r>
    </w:p>
    <w:p w:rsidR="006D7116" w:rsidRPr="00BF1B9F" w:rsidRDefault="00226D4B" w:rsidP="00226D4B">
      <w:pPr>
        <w:ind w:firstLine="0"/>
      </w:pPr>
      <w:r>
        <w:t xml:space="preserve">§ </w:t>
      </w:r>
      <w:r w:rsidR="00BA7E75">
        <w:t>6</w:t>
      </w:r>
      <w:r>
        <w:t xml:space="preserve">º. Não integram a escala </w:t>
      </w:r>
      <w:r w:rsidR="0063388B">
        <w:t xml:space="preserve">de trabalho presencial </w:t>
      </w:r>
      <w:r>
        <w:t xml:space="preserve">referida neste artigo </w:t>
      </w:r>
      <w:r w:rsidR="00BC3A9D">
        <w:t>as</w:t>
      </w:r>
      <w:r>
        <w:t xml:space="preserve"> gestantes</w:t>
      </w:r>
      <w:r w:rsidR="00940B41">
        <w:t>, as lactantes</w:t>
      </w:r>
      <w:r>
        <w:t xml:space="preserve">, </w:t>
      </w:r>
      <w:r w:rsidR="00BC3A9D">
        <w:t xml:space="preserve">os </w:t>
      </w:r>
      <w:r>
        <w:t xml:space="preserve">idosos, </w:t>
      </w:r>
      <w:r w:rsidR="00BC3A9D">
        <w:t xml:space="preserve">pessoas </w:t>
      </w:r>
      <w:r>
        <w:t>portador</w:t>
      </w:r>
      <w:r w:rsidR="00BC3A9D">
        <w:t>a</w:t>
      </w:r>
      <w:r>
        <w:t>s de</w:t>
      </w:r>
      <w:r w:rsidR="00940B41">
        <w:t xml:space="preserve"> deficiência ou de</w:t>
      </w:r>
      <w:r>
        <w:t xml:space="preserve"> doenças crônicas ou que apresentem alguma outra espécie de vulnerabilidade, a ser atestada por profissional de saúde, ainda que não tenha ocorrido a exposição </w:t>
      </w:r>
      <w:r>
        <w:lastRenderedPageBreak/>
        <w:t>às situações de risco previstas a Resolução</w:t>
      </w:r>
      <w:r w:rsidR="000E5FD9">
        <w:t xml:space="preserve"> nº 1.195/2020-PGJ, de 12 de março de 2020.</w:t>
      </w:r>
    </w:p>
    <w:p w:rsidR="00BF1B9F" w:rsidRPr="00BF1B9F" w:rsidRDefault="00D4371E" w:rsidP="001A2C73">
      <w:pPr>
        <w:ind w:firstLine="0"/>
      </w:pPr>
      <w:r w:rsidRPr="00BF1B9F">
        <w:t xml:space="preserve">Art. </w:t>
      </w:r>
      <w:r w:rsidR="00DB3FA9" w:rsidRPr="00BF1B9F">
        <w:t>6</w:t>
      </w:r>
      <w:r w:rsidRPr="00BF1B9F">
        <w:t xml:space="preserve">º. </w:t>
      </w:r>
      <w:r w:rsidR="00BF1B9F" w:rsidRPr="00BF1B9F">
        <w:t>O membro do Ministério Público poderá optar pelo atendimento ao público por meios eletrônicos.</w:t>
      </w:r>
    </w:p>
    <w:p w:rsidR="00EB4F0D" w:rsidRPr="00BF1B9F" w:rsidRDefault="00BF1B9F" w:rsidP="001A2C73">
      <w:pPr>
        <w:ind w:firstLine="0"/>
      </w:pPr>
      <w:r w:rsidRPr="00BF1B9F">
        <w:t xml:space="preserve">Art. 7°. </w:t>
      </w:r>
      <w:r w:rsidR="00D4371E" w:rsidRPr="00BF1B9F">
        <w:t>Os atos que eventualmente tenham sido adiados deverão ser redesignados para o presente exercício.</w:t>
      </w:r>
    </w:p>
    <w:p w:rsidR="009F44AE" w:rsidRDefault="001A2C73" w:rsidP="001A2C73">
      <w:pPr>
        <w:ind w:firstLine="0"/>
      </w:pPr>
      <w:r w:rsidRPr="00BF1B9F">
        <w:t>Art.</w:t>
      </w:r>
      <w:r w:rsidR="00BF1B9F" w:rsidRPr="00BF1B9F">
        <w:t xml:space="preserve"> </w:t>
      </w:r>
      <w:r w:rsidR="00553230">
        <w:t>8</w:t>
      </w:r>
      <w:r w:rsidRPr="00BF1B9F">
        <w:t xml:space="preserve">º. </w:t>
      </w:r>
      <w:r w:rsidR="009F44AE">
        <w:t>A autorização do teletrabalho não interfere na contagem do tempo de serviço para os membros, servidores e estagiários, havendo apenas os descontos referentes ao auxílio-transporte.</w:t>
      </w:r>
    </w:p>
    <w:p w:rsidR="00A77765" w:rsidRDefault="009F44AE" w:rsidP="00A77765">
      <w:pPr>
        <w:ind w:firstLine="0"/>
      </w:pPr>
      <w:r>
        <w:t xml:space="preserve">Art. </w:t>
      </w:r>
      <w:r w:rsidR="00553230">
        <w:t>9º</w:t>
      </w:r>
      <w:r>
        <w:t xml:space="preserve">. </w:t>
      </w:r>
      <w:r w:rsidR="00A77765">
        <w:t>O</w:t>
      </w:r>
      <w:r w:rsidR="00226D4B">
        <w:t>s</w:t>
      </w:r>
      <w:r w:rsidR="00A77765">
        <w:t xml:space="preserve"> artigo</w:t>
      </w:r>
      <w:r w:rsidR="00226D4B">
        <w:t>s</w:t>
      </w:r>
      <w:r w:rsidR="00A77765">
        <w:t xml:space="preserve"> 15</w:t>
      </w:r>
      <w:r w:rsidR="00226D4B">
        <w:t>, 18 e 19</w:t>
      </w:r>
      <w:r w:rsidR="00A77765">
        <w:t xml:space="preserve"> da Resolução nº 1.195/2020-PGJ, de 12 de março de 2020, passam a vigorar com a seguinte:</w:t>
      </w:r>
    </w:p>
    <w:p w:rsidR="00A77765" w:rsidRDefault="00A77765" w:rsidP="00A77765">
      <w:pPr>
        <w:ind w:firstLine="0"/>
      </w:pPr>
      <w:r>
        <w:t>“Artigo 15 – No caso de concessão de licença compulsória, prevista nesta Resolução, a continuidade dos serviços ocorrerá mediante a prática dos atos indispensáveis por intermédio das disposições já existentes de substituição automática.</w:t>
      </w:r>
    </w:p>
    <w:p w:rsidR="00A77765" w:rsidRDefault="00A77765" w:rsidP="00A77765">
      <w:pPr>
        <w:ind w:firstLine="0"/>
      </w:pPr>
      <w:r>
        <w:t>Parágrafo único – A substituição automática em decorrência das situações regulamentadas na presente Resolução não gera efeitos financeiros ou remuneratórios.” (NR)</w:t>
      </w:r>
    </w:p>
    <w:p w:rsidR="00226D4B" w:rsidRDefault="00226D4B" w:rsidP="00A77765">
      <w:pPr>
        <w:ind w:firstLine="0"/>
      </w:pPr>
      <w:r>
        <w:t>...................................................................................................................................................</w:t>
      </w:r>
    </w:p>
    <w:p w:rsidR="000E5FD9" w:rsidRDefault="000E5FD9" w:rsidP="00A77765">
      <w:pPr>
        <w:ind w:firstLine="0"/>
      </w:pPr>
      <w:r>
        <w:t>“</w:t>
      </w:r>
      <w:r w:rsidR="00226D4B">
        <w:t>Artigo 18 – A licença compulsória não exclui outras licenças ou afastamentos previstos em disposições legais ou regulamentares específicas.</w:t>
      </w:r>
      <w:r>
        <w:t>” (NR)</w:t>
      </w:r>
      <w:r w:rsidR="00226D4B">
        <w:t xml:space="preserve"> </w:t>
      </w:r>
    </w:p>
    <w:p w:rsidR="00226D4B" w:rsidRDefault="000E5FD9" w:rsidP="00A77765">
      <w:pPr>
        <w:ind w:firstLine="0"/>
      </w:pPr>
      <w:r>
        <w:t>“</w:t>
      </w:r>
      <w:r w:rsidR="00226D4B">
        <w:t xml:space="preserve">Artigo 19 – Considerando a necessidade da manutenção da continuidade do serviço público, o teletrabalho terá prioridade em relação à concessão de licença compulsória nos casos previstos nesta Resolução. </w:t>
      </w:r>
    </w:p>
    <w:p w:rsidR="00226D4B" w:rsidRDefault="00226D4B" w:rsidP="00A77765">
      <w:pPr>
        <w:ind w:firstLine="0"/>
      </w:pPr>
      <w:r>
        <w:t>Parágrafo único. A licença compulsória será concedida apenas nos casos em que, na situação concreta, for inviável o equacionamento do problema com a utilização do teletrabalho.</w:t>
      </w:r>
      <w:r w:rsidR="000E5FD9">
        <w:t>” (NR)</w:t>
      </w:r>
    </w:p>
    <w:p w:rsidR="00553230" w:rsidRPr="00BF1B9F" w:rsidRDefault="00553230" w:rsidP="00553230">
      <w:pPr>
        <w:ind w:firstLine="0"/>
      </w:pPr>
      <w:r w:rsidRPr="00BF1B9F">
        <w:lastRenderedPageBreak/>
        <w:t xml:space="preserve">Art. </w:t>
      </w:r>
      <w:r>
        <w:t>10</w:t>
      </w:r>
      <w:r w:rsidRPr="00BF1B9F">
        <w:t>. As disposições dessa Resolução aplicam-se, no que couber, à Escola Superior do Ministério Público – Centro de Estudos e Aperfeiçoamento Funcional.</w:t>
      </w:r>
    </w:p>
    <w:p w:rsidR="00940B41" w:rsidRDefault="00A77765" w:rsidP="001A2C73">
      <w:pPr>
        <w:ind w:firstLine="0"/>
      </w:pPr>
      <w:r>
        <w:t>Art</w:t>
      </w:r>
      <w:r w:rsidR="00226D4B">
        <w:t xml:space="preserve">. </w:t>
      </w:r>
      <w:r>
        <w:t>1</w:t>
      </w:r>
      <w:r w:rsidR="000E5FD9">
        <w:t xml:space="preserve">1. </w:t>
      </w:r>
      <w:r w:rsidR="00940B41">
        <w:t xml:space="preserve">A Diretoria-Geral </w:t>
      </w:r>
      <w:r w:rsidR="00D5367A">
        <w:t>adotará</w:t>
      </w:r>
      <w:r w:rsidR="00940B41">
        <w:t xml:space="preserve"> providências para que a prestação de serviços terceirizados não sofra interrupção, observadas as diretrizes desta Resolução.</w:t>
      </w:r>
    </w:p>
    <w:p w:rsidR="006D7116" w:rsidRDefault="00940B41" w:rsidP="001A2C73">
      <w:pPr>
        <w:ind w:firstLine="0"/>
      </w:pPr>
      <w:r>
        <w:t>Art. 1</w:t>
      </w:r>
      <w:r w:rsidR="006D7116">
        <w:t>2</w:t>
      </w:r>
      <w:r>
        <w:t xml:space="preserve">. </w:t>
      </w:r>
      <w:r w:rsidR="006D7116">
        <w:t xml:space="preserve">O horário de expediente presencial é das 11 (onze) às 17 (dezessete) horas, respeitada a jornada diária de 06 (seis) horas, sem compensação futura, pelo prazo de 14 (quatorze) dias, prorrogável por decisão do Procurador-Geral de Justiça, observado </w:t>
      </w:r>
      <w:r w:rsidR="00816471">
        <w:t>o registro de ponto biométrico.</w:t>
      </w:r>
    </w:p>
    <w:p w:rsidR="001A2C73" w:rsidRPr="00BF1B9F" w:rsidRDefault="006D7116" w:rsidP="00816471">
      <w:pPr>
        <w:ind w:firstLine="0"/>
      </w:pPr>
      <w:r>
        <w:t xml:space="preserve">Art. </w:t>
      </w:r>
      <w:r w:rsidR="00816471">
        <w:t xml:space="preserve">13. </w:t>
      </w:r>
      <w:r w:rsidR="001A2C73" w:rsidRPr="00BF1B9F">
        <w:t>Esta Resolução entra em vigor na data de sua publicação, revogadas as disposições em contrário</w:t>
      </w:r>
      <w:r w:rsidR="00BF1B9F" w:rsidRPr="00BF1B9F">
        <w:t xml:space="preserve">, em especial </w:t>
      </w:r>
      <w:r w:rsidR="00A77765">
        <w:t xml:space="preserve">os </w:t>
      </w:r>
      <w:proofErr w:type="spellStart"/>
      <w:r w:rsidR="00A77765">
        <w:t>arts</w:t>
      </w:r>
      <w:proofErr w:type="spellEnd"/>
      <w:r w:rsidR="00A77765">
        <w:t>. 7º a 14</w:t>
      </w:r>
      <w:r w:rsidR="00226D4B">
        <w:t xml:space="preserve"> e </w:t>
      </w:r>
      <w:r w:rsidR="000E5FD9">
        <w:t xml:space="preserve">20 da </w:t>
      </w:r>
      <w:r w:rsidR="00BF1B9F" w:rsidRPr="00BF1B9F">
        <w:t>Resolução n° 1.195/2020-PGJ, de 12 de março de 2020, preservados os efeitos dos atos com base nela praticados</w:t>
      </w:r>
      <w:r w:rsidR="001A2C73" w:rsidRPr="00BF1B9F">
        <w:t>.</w:t>
      </w:r>
    </w:p>
    <w:p w:rsidR="001A2C73" w:rsidRDefault="001A2C73" w:rsidP="001A2C73">
      <w:pPr>
        <w:ind w:firstLine="0"/>
      </w:pPr>
      <w:r w:rsidRPr="00BF1B9F">
        <w:t xml:space="preserve"> </w:t>
      </w:r>
      <w:r w:rsidRPr="00BF1B9F">
        <w:tab/>
      </w:r>
      <w:r w:rsidRPr="00BF1B9F">
        <w:tab/>
        <w:t>São Paulo, 16 de março de 2020.</w:t>
      </w:r>
    </w:p>
    <w:p w:rsidR="00070209" w:rsidRPr="00BF1B9F" w:rsidRDefault="00070209" w:rsidP="001A2C73">
      <w:pPr>
        <w:ind w:firstLine="0"/>
      </w:pPr>
      <w:bookmarkStart w:id="0" w:name="_GoBack"/>
      <w:bookmarkEnd w:id="0"/>
    </w:p>
    <w:p w:rsidR="00AE4422" w:rsidRPr="00BF1B9F" w:rsidRDefault="00AE4422" w:rsidP="00AE4422">
      <w:pPr>
        <w:pStyle w:val="6Assinatura"/>
      </w:pPr>
      <w:r w:rsidRPr="00BF1B9F">
        <w:t>Gianpaolo Poggio Smanio</w:t>
      </w:r>
    </w:p>
    <w:p w:rsidR="00AE4422" w:rsidRPr="00BF1B9F" w:rsidRDefault="00AE4422" w:rsidP="00AE4422">
      <w:pPr>
        <w:pStyle w:val="6Assinatura"/>
      </w:pPr>
      <w:r w:rsidRPr="00BF1B9F">
        <w:t>Procurador-Geral de Justiça</w:t>
      </w:r>
    </w:p>
    <w:sectPr w:rsidR="00AE4422" w:rsidRPr="00BF1B9F" w:rsidSect="0080560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55" w:rsidRDefault="00413455">
      <w:pPr>
        <w:spacing w:after="0" w:line="240" w:lineRule="auto"/>
      </w:pPr>
      <w:r>
        <w:separator/>
      </w:r>
    </w:p>
  </w:endnote>
  <w:endnote w:type="continuationSeparator" w:id="0">
    <w:p w:rsidR="00413455" w:rsidRDefault="0041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A9" w:rsidRDefault="00413455" w:rsidP="004051BB">
    <w:pPr>
      <w:pStyle w:val="Rodap"/>
    </w:pPr>
  </w:p>
  <w:p w:rsidR="000876A9" w:rsidRDefault="00413455" w:rsidP="004051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0995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876A9" w:rsidRPr="0080560B" w:rsidRDefault="001A2C73" w:rsidP="0080560B">
        <w:pPr>
          <w:pStyle w:val="Rodap"/>
          <w:jc w:val="right"/>
          <w:rPr>
            <w:sz w:val="24"/>
            <w:szCs w:val="24"/>
          </w:rPr>
        </w:pPr>
        <w:r w:rsidRPr="0080560B">
          <w:rPr>
            <w:sz w:val="24"/>
            <w:szCs w:val="24"/>
          </w:rPr>
          <w:fldChar w:fldCharType="begin"/>
        </w:r>
        <w:r w:rsidRPr="0080560B">
          <w:rPr>
            <w:sz w:val="24"/>
            <w:szCs w:val="24"/>
          </w:rPr>
          <w:instrText>PAGE   \* MERGEFORMAT</w:instrText>
        </w:r>
        <w:r w:rsidRPr="0080560B">
          <w:rPr>
            <w:sz w:val="24"/>
            <w:szCs w:val="24"/>
          </w:rPr>
          <w:fldChar w:fldCharType="separate"/>
        </w:r>
        <w:r w:rsidRPr="0080560B">
          <w:rPr>
            <w:sz w:val="24"/>
            <w:szCs w:val="24"/>
          </w:rPr>
          <w:t>2</w:t>
        </w:r>
        <w:r w:rsidRPr="0080560B">
          <w:rPr>
            <w:sz w:val="24"/>
            <w:szCs w:val="24"/>
          </w:rPr>
          <w:fldChar w:fldCharType="end"/>
        </w:r>
      </w:p>
    </w:sdtContent>
  </w:sdt>
  <w:p w:rsidR="000876A9" w:rsidRPr="005D2C35" w:rsidRDefault="00413455" w:rsidP="004051BB">
    <w:pPr>
      <w:pStyle w:val="Rodap"/>
    </w:pPr>
  </w:p>
  <w:p w:rsidR="000876A9" w:rsidRDefault="00413455" w:rsidP="004051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55" w:rsidRDefault="00413455">
      <w:pPr>
        <w:spacing w:after="0" w:line="240" w:lineRule="auto"/>
      </w:pPr>
      <w:r>
        <w:separator/>
      </w:r>
    </w:p>
  </w:footnote>
  <w:footnote w:type="continuationSeparator" w:id="0">
    <w:p w:rsidR="00413455" w:rsidRDefault="0041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A9" w:rsidRDefault="00413455" w:rsidP="004051BB">
    <w:pPr>
      <w:pStyle w:val="Cabealho"/>
    </w:pPr>
  </w:p>
  <w:p w:rsidR="000876A9" w:rsidRDefault="00413455" w:rsidP="004051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284"/>
      <w:gridCol w:w="4394"/>
    </w:tblGrid>
    <w:tr w:rsidR="000876A9" w:rsidTr="0032209D">
      <w:tc>
        <w:tcPr>
          <w:tcW w:w="4678" w:type="dxa"/>
          <w:tcBorders>
            <w:right w:val="single" w:sz="12" w:space="0" w:color="C00000"/>
          </w:tcBorders>
          <w:vAlign w:val="center"/>
        </w:tcPr>
        <w:p w:rsidR="000876A9" w:rsidRDefault="001A2C73" w:rsidP="004051BB">
          <w:pPr>
            <w:pStyle w:val="CabealhoMPSP"/>
            <w:jc w:val="left"/>
          </w:pPr>
          <w:r>
            <w:rPr>
              <w:noProof/>
            </w:rPr>
            <w:drawing>
              <wp:inline distT="0" distB="0" distL="0" distR="0" wp14:anchorId="035823E3" wp14:editId="67655AA2">
                <wp:extent cx="2571750" cy="297180"/>
                <wp:effectExtent l="0" t="0" r="0" b="762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7575" cy="297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left w:val="single" w:sz="12" w:space="0" w:color="C00000"/>
          </w:tcBorders>
        </w:tcPr>
        <w:p w:rsidR="000876A9" w:rsidRPr="009F7412" w:rsidRDefault="00413455" w:rsidP="004051BB">
          <w:pPr>
            <w:pStyle w:val="CabealhoMPSP"/>
          </w:pPr>
        </w:p>
      </w:tc>
      <w:tc>
        <w:tcPr>
          <w:tcW w:w="4394" w:type="dxa"/>
        </w:tcPr>
        <w:p w:rsidR="000876A9" w:rsidRPr="00782467" w:rsidRDefault="001A2C73" w:rsidP="004051BB">
          <w:pPr>
            <w:pStyle w:val="CabealhoMPSP"/>
          </w:pPr>
          <w:r w:rsidRPr="00782467">
            <w:t>PROCURADORIA-GERAL DE JUSTIÇA</w:t>
          </w:r>
        </w:p>
        <w:p w:rsidR="000876A9" w:rsidRPr="004051BB" w:rsidRDefault="00413455" w:rsidP="004051BB">
          <w:pPr>
            <w:pStyle w:val="CabealhoMPSP"/>
            <w:rPr>
              <w:sz w:val="18"/>
              <w:szCs w:val="18"/>
            </w:rPr>
          </w:pPr>
        </w:p>
      </w:tc>
    </w:tr>
  </w:tbl>
  <w:p w:rsidR="000876A9" w:rsidRDefault="001A2C73" w:rsidP="004051BB">
    <w:pPr>
      <w:pStyle w:val="CabealhoMPSP"/>
      <w:ind w:left="0"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2E845" wp14:editId="25A57CB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9B2B8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22"/>
    <w:rsid w:val="00033C6D"/>
    <w:rsid w:val="00070209"/>
    <w:rsid w:val="000E01D5"/>
    <w:rsid w:val="000E5FD9"/>
    <w:rsid w:val="00193B01"/>
    <w:rsid w:val="001A2C73"/>
    <w:rsid w:val="00226D4B"/>
    <w:rsid w:val="002C055D"/>
    <w:rsid w:val="003F527A"/>
    <w:rsid w:val="00413455"/>
    <w:rsid w:val="0046323F"/>
    <w:rsid w:val="00496C78"/>
    <w:rsid w:val="004A773B"/>
    <w:rsid w:val="004C0050"/>
    <w:rsid w:val="00553230"/>
    <w:rsid w:val="005B1476"/>
    <w:rsid w:val="0061713E"/>
    <w:rsid w:val="0063388B"/>
    <w:rsid w:val="00645A44"/>
    <w:rsid w:val="006600E2"/>
    <w:rsid w:val="00697B7B"/>
    <w:rsid w:val="006D7116"/>
    <w:rsid w:val="006F15F8"/>
    <w:rsid w:val="007429A3"/>
    <w:rsid w:val="007C6B16"/>
    <w:rsid w:val="00816471"/>
    <w:rsid w:val="00836E9D"/>
    <w:rsid w:val="00876AF5"/>
    <w:rsid w:val="00940B41"/>
    <w:rsid w:val="009F44AE"/>
    <w:rsid w:val="00A77765"/>
    <w:rsid w:val="00AA4DDC"/>
    <w:rsid w:val="00AE4422"/>
    <w:rsid w:val="00BA7E75"/>
    <w:rsid w:val="00BC3A9D"/>
    <w:rsid w:val="00BF1B9F"/>
    <w:rsid w:val="00C51FA7"/>
    <w:rsid w:val="00CB2C1F"/>
    <w:rsid w:val="00D41B9E"/>
    <w:rsid w:val="00D4371E"/>
    <w:rsid w:val="00D5367A"/>
    <w:rsid w:val="00DB3FA9"/>
    <w:rsid w:val="00EA006F"/>
    <w:rsid w:val="00EB4F0D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9545"/>
  <w15:chartTrackingRefBased/>
  <w15:docId w15:val="{924256C3-A24C-4CB6-964E-DAF63815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422"/>
    <w:pPr>
      <w:spacing w:after="120" w:line="360" w:lineRule="auto"/>
      <w:ind w:firstLine="709"/>
      <w:jc w:val="both"/>
    </w:pPr>
    <w:rPr>
      <w:rFonts w:ascii="Tw Cen MT" w:eastAsia="Times New Roman" w:hAnsi="Tw Cen MT" w:cs="Times New Roman"/>
      <w:bCs/>
      <w:kern w:val="28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422"/>
    <w:rPr>
      <w:rFonts w:ascii="Tw Cen MT" w:eastAsia="Times New Roman" w:hAnsi="Tw Cen MT" w:cs="Times New Roman"/>
      <w:bCs/>
      <w:kern w:val="28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422"/>
    <w:rPr>
      <w:rFonts w:ascii="Tw Cen MT" w:eastAsia="Times New Roman" w:hAnsi="Tw Cen MT" w:cs="Times New Roman"/>
      <w:bCs/>
      <w:kern w:val="28"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AE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Citao">
    <w:name w:val="5.Citação"/>
    <w:basedOn w:val="Normal"/>
    <w:link w:val="5CitaoChar"/>
    <w:qFormat/>
    <w:rsid w:val="00AE4422"/>
    <w:pPr>
      <w:ind w:left="2835" w:firstLine="0"/>
    </w:pPr>
    <w:rPr>
      <w:bCs w:val="0"/>
      <w:sz w:val="26"/>
      <w:szCs w:val="26"/>
    </w:rPr>
  </w:style>
  <w:style w:type="character" w:customStyle="1" w:styleId="5CitaoChar">
    <w:name w:val="5.Citação Char"/>
    <w:link w:val="5Citao"/>
    <w:rsid w:val="00AE4422"/>
    <w:rPr>
      <w:rFonts w:ascii="Tw Cen MT" w:eastAsia="Times New Roman" w:hAnsi="Tw Cen MT" w:cs="Times New Roman"/>
      <w:kern w:val="28"/>
      <w:sz w:val="26"/>
      <w:szCs w:val="26"/>
      <w:lang w:eastAsia="pt-BR"/>
    </w:rPr>
  </w:style>
  <w:style w:type="paragraph" w:customStyle="1" w:styleId="6Assinatura">
    <w:name w:val="6.Assinatura"/>
    <w:qFormat/>
    <w:rsid w:val="00AE4422"/>
    <w:pPr>
      <w:spacing w:after="0" w:line="240" w:lineRule="auto"/>
      <w:jc w:val="center"/>
    </w:pPr>
    <w:rPr>
      <w:rFonts w:ascii="Tw Cen MT" w:eastAsia="Times New Roman" w:hAnsi="Tw Cen MT" w:cs="Arial"/>
      <w:b/>
      <w:sz w:val="28"/>
      <w:szCs w:val="24"/>
      <w:lang w:eastAsia="pt-BR"/>
    </w:rPr>
  </w:style>
  <w:style w:type="paragraph" w:customStyle="1" w:styleId="Identificaodapea">
    <w:name w:val="Identificação da peça"/>
    <w:rsid w:val="00AE4422"/>
    <w:pPr>
      <w:spacing w:after="120" w:line="240" w:lineRule="auto"/>
      <w:jc w:val="both"/>
    </w:pPr>
    <w:rPr>
      <w:rFonts w:ascii="Tw Cen MT" w:eastAsia="Times New Roman" w:hAnsi="Tw Cen MT" w:cs="Times New Roman"/>
      <w:sz w:val="24"/>
      <w:szCs w:val="24"/>
      <w:lang w:eastAsia="pt-BR"/>
    </w:rPr>
  </w:style>
  <w:style w:type="paragraph" w:customStyle="1" w:styleId="Corpodapea">
    <w:name w:val="Corpo da peça"/>
    <w:link w:val="CorpodapeaChar"/>
    <w:rsid w:val="00AE4422"/>
    <w:pPr>
      <w:spacing w:after="240" w:line="360" w:lineRule="auto"/>
      <w:ind w:firstLine="709"/>
      <w:jc w:val="both"/>
    </w:pPr>
    <w:rPr>
      <w:rFonts w:ascii="Tw Cen MT" w:eastAsia="Times New Roman" w:hAnsi="Tw Cen MT" w:cs="Times New Roman"/>
      <w:sz w:val="28"/>
      <w:szCs w:val="24"/>
      <w:lang w:eastAsia="pt-BR"/>
    </w:rPr>
  </w:style>
  <w:style w:type="character" w:customStyle="1" w:styleId="CorpodapeaChar">
    <w:name w:val="Corpo da peça Char"/>
    <w:link w:val="Corpodapea"/>
    <w:locked/>
    <w:rsid w:val="00AE4422"/>
    <w:rPr>
      <w:rFonts w:ascii="Tw Cen MT" w:eastAsia="Times New Roman" w:hAnsi="Tw Cen MT" w:cs="Times New Roman"/>
      <w:sz w:val="28"/>
      <w:szCs w:val="24"/>
      <w:lang w:eastAsia="pt-BR"/>
    </w:rPr>
  </w:style>
  <w:style w:type="paragraph" w:customStyle="1" w:styleId="CabealhoMPSP">
    <w:name w:val="Cabeçalho MPSP"/>
    <w:basedOn w:val="Cabealho"/>
    <w:qFormat/>
    <w:rsid w:val="00AE4422"/>
    <w:pPr>
      <w:spacing w:line="276" w:lineRule="auto"/>
      <w:ind w:left="280" w:hanging="3"/>
      <w:jc w:val="center"/>
    </w:pPr>
    <w:rPr>
      <w:rFonts w:cs="Arial"/>
      <w:b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422"/>
    <w:rPr>
      <w:rFonts w:ascii="Segoe UI" w:eastAsia="Times New Roman" w:hAnsi="Segoe UI" w:cs="Segoe UI"/>
      <w:bCs/>
      <w:kern w:val="28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4F0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bCs w:val="0"/>
      <w:kern w:val="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51FA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51FA7"/>
    <w:rPr>
      <w:b/>
      <w:bCs/>
    </w:rPr>
  </w:style>
  <w:style w:type="character" w:styleId="nfase">
    <w:name w:val="Emphasis"/>
    <w:basedOn w:val="Fontepargpadro"/>
    <w:uiPriority w:val="20"/>
    <w:qFormat/>
    <w:rsid w:val="00C51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CAD2-E127-4163-A10D-E3ABA881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1490</Words>
  <Characters>8051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Paiva Martins Junior</dc:creator>
  <cp:keywords/>
  <dc:description/>
  <cp:lastModifiedBy>Wallace Paiva Martins Junior</cp:lastModifiedBy>
  <cp:revision>17</cp:revision>
  <cp:lastPrinted>2020-03-16T21:42:00Z</cp:lastPrinted>
  <dcterms:created xsi:type="dcterms:W3CDTF">2020-03-13T23:07:00Z</dcterms:created>
  <dcterms:modified xsi:type="dcterms:W3CDTF">2020-03-16T21:57:00Z</dcterms:modified>
</cp:coreProperties>
</file>