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PUBLICADO NO D.O.E DE </w:t>
      </w:r>
      <w:r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2/0</w:t>
      </w:r>
      <w:r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>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942A3A" w:rsidRPr="007923B3" w:rsidRDefault="00942A3A" w:rsidP="00942A3A">
      <w:pPr>
        <w:rPr>
          <w:rFonts w:ascii="Century Gothic" w:hAnsi="Century Gothic"/>
          <w:sz w:val="20"/>
        </w:rPr>
      </w:pPr>
      <w:r w:rsidRPr="00161785">
        <w:rPr>
          <w:rFonts w:ascii="Century Gothic" w:hAnsi="Century Gothic"/>
          <w:sz w:val="22"/>
          <w:szCs w:val="22"/>
        </w:rPr>
        <w:t>Despacho do</w:t>
      </w:r>
      <w:r>
        <w:rPr>
          <w:rFonts w:ascii="Century Gothic" w:hAnsi="Century Gothic"/>
          <w:sz w:val="22"/>
          <w:szCs w:val="22"/>
        </w:rPr>
        <w:t xml:space="preserve"> Diretor-Geral</w:t>
      </w:r>
      <w:r w:rsidRPr="007923B3">
        <w:rPr>
          <w:rFonts w:ascii="Century Gothic" w:hAnsi="Century Gothic"/>
          <w:sz w:val="20"/>
        </w:rPr>
        <w:t xml:space="preserve"> </w:t>
      </w:r>
    </w:p>
    <w:p w:rsidR="00942A3A" w:rsidRPr="007923B3" w:rsidRDefault="00942A3A" w:rsidP="00942A3A">
      <w:pPr>
        <w:rPr>
          <w:rFonts w:ascii="Century Gothic" w:hAnsi="Century Gothic"/>
          <w:bCs/>
          <w:sz w:val="20"/>
        </w:rPr>
      </w:pPr>
    </w:p>
    <w:p w:rsidR="00AD6E28" w:rsidRPr="00AD6E28" w:rsidRDefault="00AD6E28" w:rsidP="00AD6E28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AD6E28">
        <w:rPr>
          <w:rFonts w:ascii="Century Gothic" w:hAnsi="Century Gothic"/>
          <w:sz w:val="22"/>
          <w:szCs w:val="22"/>
        </w:rPr>
        <w:t>Processo n.º:190/18 – DG/MP</w:t>
      </w:r>
    </w:p>
    <w:p w:rsidR="00AD6E28" w:rsidRPr="00AD6E28" w:rsidRDefault="00AD6E28" w:rsidP="00AD6E28">
      <w:pPr>
        <w:jc w:val="both"/>
        <w:rPr>
          <w:rFonts w:ascii="Century Gothic" w:hAnsi="Century Gothic"/>
          <w:sz w:val="22"/>
          <w:szCs w:val="22"/>
        </w:rPr>
      </w:pPr>
      <w:r w:rsidRPr="00AD6E28">
        <w:rPr>
          <w:rFonts w:ascii="Century Gothic" w:hAnsi="Century Gothic"/>
          <w:sz w:val="22"/>
          <w:szCs w:val="22"/>
        </w:rPr>
        <w:t>Interessado: Ministério Público do Estado de São Paulo</w:t>
      </w:r>
    </w:p>
    <w:p w:rsidR="00AD6E28" w:rsidRPr="00AD6E28" w:rsidRDefault="00AD6E28" w:rsidP="00AD6E28">
      <w:pPr>
        <w:ind w:firstLine="3"/>
        <w:jc w:val="both"/>
        <w:rPr>
          <w:rFonts w:ascii="Century Gothic" w:hAnsi="Century Gothic"/>
          <w:sz w:val="22"/>
          <w:szCs w:val="22"/>
        </w:rPr>
      </w:pPr>
      <w:r w:rsidRPr="00AD6E28">
        <w:rPr>
          <w:rFonts w:ascii="Century Gothic" w:hAnsi="Century Gothic"/>
          <w:sz w:val="22"/>
          <w:szCs w:val="22"/>
        </w:rPr>
        <w:t>Assunto:</w:t>
      </w:r>
      <w:r>
        <w:rPr>
          <w:rFonts w:ascii="Century Gothic" w:hAnsi="Century Gothic"/>
          <w:sz w:val="22"/>
          <w:szCs w:val="22"/>
        </w:rPr>
        <w:t xml:space="preserve"> </w:t>
      </w:r>
      <w:r w:rsidRPr="00AD6E28">
        <w:rPr>
          <w:rFonts w:ascii="Century Gothic" w:hAnsi="Century Gothic"/>
          <w:sz w:val="22"/>
          <w:szCs w:val="22"/>
        </w:rPr>
        <w:t xml:space="preserve">Contratação de empresa especializada para locação de centrais privadas de comutação telefônica, tipo PABX, tecnologia CPA, com instalação e assistência técnica, para as unidades da Instituição, localizadas no Complexo Judiciário Ministro Mário Guimarães – Fórum Criminal Barra Funda, e no Edifício Santa Lúcia. </w:t>
      </w:r>
    </w:p>
    <w:p w:rsidR="00DE73C4" w:rsidRPr="00F536D5" w:rsidRDefault="00AD6E28" w:rsidP="00DE73C4">
      <w:pPr>
        <w:pStyle w:val="Recuodecorpodetexto"/>
        <w:spacing w:line="240" w:lineRule="auto"/>
        <w:ind w:left="0" w:firstLine="0"/>
        <w:rPr>
          <w:rFonts w:ascii="Century Gothic" w:hAnsi="Century Gothic"/>
        </w:rPr>
      </w:pPr>
      <w:r w:rsidRPr="002A63FA">
        <w:rPr>
          <w:rFonts w:ascii="Century Gothic" w:hAnsi="Century Gothic"/>
          <w:sz w:val="22"/>
          <w:szCs w:val="22"/>
        </w:rPr>
        <w:t xml:space="preserve">Ante o exposto, no uso das atribuições que me são conferidas pelo item 5 da alínea “a” do inciso I do artigo 1º do Ato nº 223/98 – PGJ, em consonância com os princípios da isonomia, da vinculação ao instrumento convocatório, da moralidade administrativa, da legalidade e da eficiência, </w:t>
      </w:r>
      <w:r w:rsidRPr="00E02852">
        <w:rPr>
          <w:rFonts w:ascii="Century Gothic" w:hAnsi="Century Gothic"/>
          <w:i/>
          <w:sz w:val="22"/>
          <w:szCs w:val="22"/>
        </w:rPr>
        <w:t>CONHEÇO</w:t>
      </w:r>
      <w:r w:rsidRPr="002A63FA">
        <w:rPr>
          <w:rFonts w:ascii="Century Gothic" w:hAnsi="Century Gothic"/>
          <w:sz w:val="22"/>
          <w:szCs w:val="22"/>
        </w:rPr>
        <w:t xml:space="preserve"> do recurso interposto</w:t>
      </w:r>
      <w:r>
        <w:rPr>
          <w:rFonts w:ascii="Century Gothic" w:hAnsi="Century Gothic"/>
          <w:sz w:val="22"/>
          <w:szCs w:val="22"/>
        </w:rPr>
        <w:t xml:space="preserve"> pela empresa </w:t>
      </w:r>
      <w:r w:rsidRPr="001C7E81">
        <w:rPr>
          <w:rFonts w:ascii="Century Gothic" w:hAnsi="Century Gothic"/>
          <w:i/>
          <w:sz w:val="22"/>
          <w:szCs w:val="22"/>
        </w:rPr>
        <w:t>NCOM LOCADORA DE SISTEMAS LTDA.</w:t>
      </w:r>
      <w:r>
        <w:rPr>
          <w:rFonts w:ascii="Century Gothic" w:hAnsi="Century Gothic"/>
          <w:sz w:val="22"/>
          <w:szCs w:val="22"/>
        </w:rPr>
        <w:t xml:space="preserve">, para no mérito </w:t>
      </w:r>
      <w:r>
        <w:rPr>
          <w:rFonts w:ascii="Century Gothic" w:hAnsi="Century Gothic"/>
          <w:i/>
          <w:sz w:val="22"/>
          <w:szCs w:val="22"/>
        </w:rPr>
        <w:t xml:space="preserve">NEGAR-LHE </w:t>
      </w:r>
      <w:r>
        <w:rPr>
          <w:rFonts w:ascii="Century Gothic" w:hAnsi="Century Gothic"/>
          <w:sz w:val="22"/>
          <w:szCs w:val="22"/>
        </w:rPr>
        <w:t>provimento, mantendo</w:t>
      </w:r>
      <w:r w:rsidRPr="002A63FA">
        <w:rPr>
          <w:rFonts w:ascii="Century Gothic" w:hAnsi="Century Gothic"/>
          <w:sz w:val="22"/>
          <w:szCs w:val="22"/>
        </w:rPr>
        <w:t xml:space="preserve"> a</w:t>
      </w:r>
      <w:r>
        <w:rPr>
          <w:rFonts w:ascii="Century Gothic" w:hAnsi="Century Gothic"/>
          <w:sz w:val="22"/>
          <w:szCs w:val="22"/>
        </w:rPr>
        <w:t xml:space="preserve"> decisão proferida pela </w:t>
      </w:r>
      <w:r w:rsidRPr="007432BC">
        <w:rPr>
          <w:rFonts w:ascii="Century Gothic" w:hAnsi="Century Gothic"/>
          <w:i/>
          <w:sz w:val="22"/>
          <w:szCs w:val="22"/>
        </w:rPr>
        <w:t>COMISSÃO JULGADORA DE LICITAÇÕES</w:t>
      </w:r>
      <w:r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que não a credenciou pelo desatendimento ao disposto na alínea “b”, do subitem 1, do Item III – Do Credenciamento.</w:t>
      </w:r>
    </w:p>
    <w:p w:rsidR="00DE73C4" w:rsidRPr="006A2ED2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/>
    <w:p w:rsidR="009B58B0" w:rsidRPr="00DE73C4" w:rsidRDefault="009B58B0" w:rsidP="00DE73C4"/>
    <w:sectPr w:rsidR="009B58B0" w:rsidRPr="00DE73C4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5B" w:rsidRDefault="009E7E5B" w:rsidP="004F2F5B">
      <w:r>
        <w:separator/>
      </w:r>
    </w:p>
  </w:endnote>
  <w:endnote w:type="continuationSeparator" w:id="0">
    <w:p w:rsidR="009E7E5B" w:rsidRDefault="009E7E5B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5B" w:rsidRDefault="009E7E5B" w:rsidP="004F2F5B">
      <w:r>
        <w:separator/>
      </w:r>
    </w:p>
  </w:footnote>
  <w:footnote w:type="continuationSeparator" w:id="0">
    <w:p w:rsidR="009E7E5B" w:rsidRDefault="009E7E5B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9E7E5B" w:rsidP="00CF5506">
    <w:pPr>
      <w:pStyle w:val="Cabealho"/>
    </w:pPr>
  </w:p>
  <w:p w:rsidR="00C7316A" w:rsidRDefault="009E7E5B">
    <w:pPr>
      <w:pStyle w:val="Cabealho"/>
    </w:pPr>
  </w:p>
  <w:p w:rsidR="00C7316A" w:rsidRDefault="009E7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E0FEE"/>
    <w:rsid w:val="002613CD"/>
    <w:rsid w:val="0027700E"/>
    <w:rsid w:val="002D48A9"/>
    <w:rsid w:val="002E1BC4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54D06"/>
    <w:rsid w:val="00AA2D21"/>
    <w:rsid w:val="00AC1137"/>
    <w:rsid w:val="00AD6E28"/>
    <w:rsid w:val="00AD772D"/>
    <w:rsid w:val="00AF0569"/>
    <w:rsid w:val="00B136C4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81D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2018-09-11T18:53:00Z</dcterms:created>
  <dcterms:modified xsi:type="dcterms:W3CDTF">2018-09-11T18:53:00Z</dcterms:modified>
</cp:coreProperties>
</file>