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0976A0C4" w14:textId="77777777" w:rsidR="00A31E8D" w:rsidRDefault="00EE4128" w:rsidP="00A31E8D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B459AF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B459AF">
        <w:rPr>
          <w:rFonts w:ascii="Century Gothic" w:hAnsi="Century Gothic" w:cs="Arial"/>
          <w:sz w:val="22"/>
          <w:szCs w:val="22"/>
        </w:rPr>
        <w:t>de São Paulo o Pregão Eletrônico nº 0</w:t>
      </w:r>
      <w:r w:rsidR="00A31E8D">
        <w:rPr>
          <w:rFonts w:ascii="Century Gothic" w:hAnsi="Century Gothic" w:cs="Arial"/>
          <w:sz w:val="22"/>
          <w:szCs w:val="22"/>
        </w:rPr>
        <w:t>30</w:t>
      </w:r>
      <w:r w:rsidRPr="00B459AF">
        <w:rPr>
          <w:rFonts w:ascii="Century Gothic" w:hAnsi="Century Gothic" w:cs="Arial"/>
          <w:sz w:val="22"/>
          <w:szCs w:val="22"/>
        </w:rPr>
        <w:t xml:space="preserve">/2019 – Oferta de Compra Nº </w:t>
      </w:r>
      <w:r w:rsidRPr="00B459A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</w:t>
      </w:r>
      <w:r w:rsidR="00A31E8D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0101</w:t>
      </w:r>
      <w:r w:rsidRPr="00B459A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000012019OC000</w:t>
      </w:r>
      <w:r w:rsidR="00A31E8D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13</w:t>
      </w:r>
      <w:r w:rsidRPr="00B459AF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B459AF">
        <w:rPr>
          <w:rFonts w:ascii="Century Gothic" w:hAnsi="Century Gothic" w:cs="Arial"/>
          <w:sz w:val="22"/>
          <w:szCs w:val="22"/>
        </w:rPr>
        <w:t>- Processo</w:t>
      </w:r>
      <w:r w:rsidRPr="00B459AF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A31E8D">
        <w:rPr>
          <w:rFonts w:ascii="Century Gothic" w:hAnsi="Century Gothic" w:cs="Arial"/>
          <w:bCs/>
          <w:sz w:val="22"/>
          <w:szCs w:val="22"/>
        </w:rPr>
        <w:t>111</w:t>
      </w:r>
      <w:r w:rsidRPr="00B459AF">
        <w:rPr>
          <w:rFonts w:ascii="Century Gothic" w:hAnsi="Century Gothic" w:cs="Arial"/>
          <w:bCs/>
          <w:sz w:val="22"/>
          <w:szCs w:val="22"/>
        </w:rPr>
        <w:t xml:space="preserve">/2019 </w:t>
      </w:r>
      <w:r w:rsidR="00A31E8D">
        <w:rPr>
          <w:rFonts w:ascii="Century Gothic" w:hAnsi="Century Gothic" w:cs="Arial"/>
          <w:bCs/>
          <w:sz w:val="22"/>
          <w:szCs w:val="22"/>
        </w:rPr>
        <w:t>DG/MP</w:t>
      </w:r>
      <w:r w:rsidRPr="00B459AF">
        <w:rPr>
          <w:rFonts w:ascii="Century Gothic" w:hAnsi="Century Gothic" w:cs="Arial"/>
          <w:bCs/>
          <w:sz w:val="22"/>
          <w:szCs w:val="22"/>
        </w:rPr>
        <w:t>,</w:t>
      </w:r>
      <w:r w:rsidRPr="00B459AF">
        <w:rPr>
          <w:rFonts w:ascii="Century Gothic" w:hAnsi="Century Gothic" w:cs="Arial"/>
          <w:sz w:val="22"/>
          <w:szCs w:val="22"/>
        </w:rPr>
        <w:t xml:space="preserve"> que tem por </w:t>
      </w:r>
      <w:r w:rsidRPr="00A31E8D">
        <w:rPr>
          <w:rFonts w:ascii="Century Gothic" w:hAnsi="Century Gothic" w:cs="Arial"/>
          <w:sz w:val="22"/>
          <w:szCs w:val="22"/>
        </w:rPr>
        <w:t xml:space="preserve">objeto </w:t>
      </w:r>
      <w:r w:rsidR="00A31E8D" w:rsidRPr="00A31E8D">
        <w:rPr>
          <w:rFonts w:ascii="Century Gothic" w:hAnsi="Century Gothic"/>
          <w:w w:val="90"/>
          <w:sz w:val="22"/>
          <w:szCs w:val="22"/>
        </w:rPr>
        <w:t xml:space="preserve">prestação de serviços de manutenção preventiva e corretiva, com integral fornecimento de peças, em 01 (um) elevador de fabricação Atlas Schindler, instalado no edifício do Ministério Público do Estado de São Paulo, localizado na Rua 24 de maio, </w:t>
      </w:r>
      <w:proofErr w:type="gramStart"/>
      <w:r w:rsidR="00A31E8D" w:rsidRPr="00A31E8D">
        <w:rPr>
          <w:rFonts w:ascii="Century Gothic" w:hAnsi="Century Gothic"/>
          <w:w w:val="90"/>
          <w:sz w:val="22"/>
          <w:szCs w:val="22"/>
        </w:rPr>
        <w:t>n.º</w:t>
      </w:r>
      <w:proofErr w:type="gramEnd"/>
      <w:r w:rsidR="00A31E8D" w:rsidRPr="00A31E8D">
        <w:rPr>
          <w:rFonts w:ascii="Century Gothic" w:hAnsi="Century Gothic"/>
          <w:w w:val="90"/>
          <w:sz w:val="22"/>
          <w:szCs w:val="22"/>
        </w:rPr>
        <w:t xml:space="preserve"> 02, na cidade de Assis, estado de São Paulo</w:t>
      </w:r>
      <w:r w:rsidR="00A31E8D" w:rsidRPr="00A31E8D">
        <w:rPr>
          <w:rFonts w:ascii="Century Gothic" w:hAnsi="Century Gothic"/>
          <w:w w:val="90"/>
          <w:sz w:val="22"/>
          <w:szCs w:val="22"/>
        </w:rPr>
        <w:t>.</w:t>
      </w:r>
    </w:p>
    <w:p w14:paraId="548D4A62" w14:textId="77777777" w:rsidR="00A31E8D" w:rsidRPr="00A31E8D" w:rsidRDefault="00A31E8D" w:rsidP="00A31E8D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A31E8D">
        <w:rPr>
          <w:rFonts w:ascii="Century Gothic" w:hAnsi="Century Gothic"/>
          <w:w w:val="90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sejam detentores de senha para participar de procedimentos eletrônicos, tenham credenciado os seus representantes e que sejam Microempresas, Empresas de Pequeno ou Cooperativas que atendam ao disposto no artigo 34 da Lei federal n.º 11.488/2007, na forma  estabelecida no regulamento que disciplina a inscrição no referido Cadastro.</w:t>
      </w:r>
    </w:p>
    <w:p w14:paraId="2E1179DD" w14:textId="7280C77F" w:rsidR="00EE4128" w:rsidRPr="00B459AF" w:rsidRDefault="00EE4128" w:rsidP="00A31E8D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B459AF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B459AF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B459AF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B459AF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B459AF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B459AF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B459AF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B459AF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B459AF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B459AF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B459AF">
        <w:rPr>
          <w:rFonts w:ascii="Century Gothic" w:hAnsi="Century Gothic" w:cs="Arial"/>
          <w:b/>
          <w:sz w:val="22"/>
          <w:szCs w:val="22"/>
        </w:rPr>
        <w:t>, no</w:t>
      </w:r>
      <w:r w:rsidRPr="00B459AF">
        <w:rPr>
          <w:rFonts w:ascii="Century Gothic" w:hAnsi="Century Gothic" w:cs="Arial"/>
          <w:sz w:val="22"/>
          <w:szCs w:val="22"/>
        </w:rPr>
        <w:t xml:space="preserve"> </w:t>
      </w:r>
      <w:r w:rsidRPr="00B459AF">
        <w:rPr>
          <w:rFonts w:ascii="Century Gothic" w:hAnsi="Century Gothic" w:cs="Arial"/>
          <w:b/>
          <w:sz w:val="22"/>
          <w:szCs w:val="22"/>
        </w:rPr>
        <w:t xml:space="preserve">dia </w:t>
      </w:r>
      <w:r w:rsidR="00A31E8D">
        <w:rPr>
          <w:rFonts w:ascii="Century Gothic" w:hAnsi="Century Gothic" w:cs="Arial"/>
          <w:b/>
          <w:sz w:val="22"/>
          <w:szCs w:val="22"/>
        </w:rPr>
        <w:t>30</w:t>
      </w:r>
      <w:r w:rsidRPr="00B459AF">
        <w:rPr>
          <w:rFonts w:ascii="Century Gothic" w:hAnsi="Century Gothic" w:cs="Arial"/>
          <w:b/>
          <w:sz w:val="22"/>
          <w:szCs w:val="22"/>
        </w:rPr>
        <w:t>/0</w:t>
      </w:r>
      <w:r w:rsidR="00CB49CD" w:rsidRPr="00B459AF">
        <w:rPr>
          <w:rFonts w:ascii="Century Gothic" w:hAnsi="Century Gothic" w:cs="Arial"/>
          <w:b/>
          <w:sz w:val="22"/>
          <w:szCs w:val="22"/>
        </w:rPr>
        <w:t>4</w:t>
      </w:r>
      <w:r w:rsidRPr="00B459AF">
        <w:rPr>
          <w:rFonts w:ascii="Century Gothic" w:hAnsi="Century Gothic" w:cs="Arial"/>
          <w:b/>
          <w:sz w:val="22"/>
          <w:szCs w:val="22"/>
        </w:rPr>
        <w:t>/2019, às 11:30 horas</w:t>
      </w:r>
      <w:r w:rsidRPr="00B459AF"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Pr="00B459AF" w:rsidRDefault="00EE4128" w:rsidP="00B459AF">
      <w:pPr>
        <w:spacing w:line="360" w:lineRule="auto"/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36A3618D" w:rsidR="00EE4128" w:rsidRPr="00B459AF" w:rsidRDefault="00EE4128" w:rsidP="00B459AF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B459AF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A31E8D">
        <w:rPr>
          <w:rFonts w:ascii="Century Gothic" w:hAnsi="Century Gothic" w:cs="Arial"/>
          <w:b/>
          <w:sz w:val="22"/>
          <w:szCs w:val="22"/>
        </w:rPr>
        <w:t>15</w:t>
      </w:r>
      <w:bookmarkStart w:id="0" w:name="_GoBack"/>
      <w:bookmarkEnd w:id="0"/>
      <w:r w:rsidR="007B0A3D" w:rsidRPr="00B459AF">
        <w:rPr>
          <w:rFonts w:ascii="Century Gothic" w:hAnsi="Century Gothic" w:cs="Arial"/>
          <w:b/>
          <w:sz w:val="22"/>
          <w:szCs w:val="22"/>
        </w:rPr>
        <w:t>/04</w:t>
      </w:r>
      <w:r w:rsidRPr="00B459AF">
        <w:rPr>
          <w:rFonts w:ascii="Century Gothic" w:hAnsi="Century Gothic" w:cs="Arial"/>
          <w:b/>
          <w:sz w:val="22"/>
          <w:szCs w:val="22"/>
        </w:rPr>
        <w:t>/2019</w:t>
      </w:r>
    </w:p>
    <w:p w14:paraId="76713C07" w14:textId="77777777" w:rsidR="00AF2E66" w:rsidRPr="00B459AF" w:rsidRDefault="00AF2E66" w:rsidP="00B459AF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4AE9BCA8" w:rsidR="007802AB" w:rsidRPr="00B459AF" w:rsidRDefault="00AF2E66" w:rsidP="00B459AF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B459AF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7B0A3D" w:rsidRPr="00B459AF">
        <w:rPr>
          <w:rFonts w:ascii="Century Gothic" w:hAnsi="Century Gothic" w:cs="Arial"/>
          <w:sz w:val="22"/>
          <w:szCs w:val="22"/>
        </w:rPr>
        <w:t>09</w:t>
      </w:r>
      <w:r w:rsidRPr="00B459AF">
        <w:rPr>
          <w:rFonts w:ascii="Century Gothic" w:hAnsi="Century Gothic" w:cs="Arial"/>
          <w:sz w:val="22"/>
          <w:szCs w:val="22"/>
        </w:rPr>
        <w:t xml:space="preserve"> de </w:t>
      </w:r>
      <w:r w:rsidR="007B0A3D" w:rsidRPr="00B459AF">
        <w:rPr>
          <w:rFonts w:ascii="Century Gothic" w:hAnsi="Century Gothic" w:cs="Arial"/>
          <w:sz w:val="22"/>
          <w:szCs w:val="22"/>
        </w:rPr>
        <w:t>abril</w:t>
      </w:r>
      <w:r w:rsidRPr="00B459AF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B459AF">
        <w:rPr>
          <w:rFonts w:ascii="Century Gothic" w:hAnsi="Century Gothic" w:cs="Arial"/>
          <w:sz w:val="22"/>
          <w:szCs w:val="22"/>
        </w:rPr>
        <w:t>9</w:t>
      </w:r>
      <w:r w:rsidRPr="00B459AF">
        <w:rPr>
          <w:rFonts w:ascii="Century Gothic" w:hAnsi="Century Gothic" w:cs="Arial"/>
          <w:sz w:val="22"/>
          <w:szCs w:val="22"/>
        </w:rPr>
        <w:t>.</w:t>
      </w:r>
    </w:p>
    <w:sectPr w:rsidR="007802AB" w:rsidRPr="00B459AF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11BC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3774D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B0A3D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31E8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459AF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B49C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01155ea4-585f-4d5e-8092-2d519e1e5b61"/>
    <ds:schemaRef ds:uri="http://www.w3.org/XML/1998/namespace"/>
    <ds:schemaRef ds:uri="http://schemas.microsoft.com/sharepoint/v3"/>
    <ds:schemaRef ds:uri="http://schemas.openxmlformats.org/package/2006/metadata/core-properties"/>
    <ds:schemaRef ds:uri="ecba7b22-95d3-4fb1-a091-0b638237f2d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59D8E-1B59-4CDF-82D3-FEA805B6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20E73-3B6D-4AB5-AAD5-04079421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1788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11</cp:revision>
  <cp:lastPrinted>2018-07-11T16:22:00Z</cp:lastPrinted>
  <dcterms:created xsi:type="dcterms:W3CDTF">2019-02-27T15:55:00Z</dcterms:created>
  <dcterms:modified xsi:type="dcterms:W3CDTF">2019-04-09T15:32:00Z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