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BCE9" w14:textId="77777777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Despacho do Diretor-Geral de 04/06/19</w:t>
      </w:r>
    </w:p>
    <w:p w14:paraId="6FDA162D" w14:textId="2F7C99D5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Processo nº 027/19-FED</w:t>
      </w:r>
      <w:r>
        <w:rPr>
          <w:rFonts w:ascii="Verdana" w:hAnsi="Verdana"/>
          <w:color w:val="000000"/>
          <w:sz w:val="20"/>
          <w:szCs w:val="20"/>
        </w:rPr>
        <w:t xml:space="preserve"> – Pregão Eletrônico nº 028/2019 </w:t>
      </w:r>
    </w:p>
    <w:p w14:paraId="1C91ACE4" w14:textId="77777777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Interessado: Ministério Público do Estado de São Paulo</w:t>
      </w:r>
    </w:p>
    <w:p w14:paraId="1BA27A13" w14:textId="54506975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Assunto: Aquisição de equipamentos de informática.</w:t>
      </w:r>
      <w:bookmarkStart w:id="0" w:name="_GoBack"/>
      <w:bookmarkEnd w:id="0"/>
    </w:p>
    <w:p w14:paraId="2BEA84F2" w14:textId="77777777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4331FD2C" w14:textId="5A2649BC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face dos elementos constantes dos autos e com fundamento no artigo 49 da Lei n. 9.666/93, anulo os atos praticados pela Pregoeira e Equipe de Apoio, na sessão do Pregão Eletrônico nº 028/2019, realizada no dia 13.05.19, fls. 1466/1508, especialmente no tocante a inabilitação da empresa Alessandra Milani – EPP no que se refere ao Item 12, tendo em vista a afronta ao disposto nos artigos 3º e 4º da Lei nº 8.666/93, ressalvados os demais atos praticados.</w:t>
      </w:r>
    </w:p>
    <w:p w14:paraId="09E78479" w14:textId="77777777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6FCA6BC1" w14:textId="18B7693E" w:rsidR="00861033" w:rsidRP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861033">
        <w:rPr>
          <w:rFonts w:ascii="Verdana" w:hAnsi="Verdana"/>
          <w:b/>
          <w:color w:val="000000"/>
          <w:sz w:val="20"/>
          <w:szCs w:val="20"/>
          <w:u w:val="single"/>
        </w:rPr>
        <w:t>Fica aberto o prazo de 5 (cinco) dias úteis, a partir da publicação desta decisão, para interposição de eventual recurso, nos termos do art. 109, I, "c" da Lei Federal n.º 8.666/93, com suas alterações, combinado com o § 3º do art. 49 do mencionado diploma legal.</w:t>
      </w:r>
    </w:p>
    <w:p w14:paraId="4F4D1B6E" w14:textId="5C2235BB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4394C519" w14:textId="11D1BAE6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Ainda, em face dos elementos constantes dos autos, com fundamento no item 4 da alínea “a” do inciso I do artigo 1º do Ato nº 223/1998 - PGJ, com amparo no item 1 da alínea “b” do inciso III do artigo 75 da Lei Complementar nº 734, de 26 de novembro de 1993, adjudico e homologo, nos termos do inciso XXII do artigo 4º da Lei Federal n.º 10.520/02, os atos proferidos pela Senhora Pregoeira no Pregão Eletrônico nº 028/2019, em conformidade com a Ata de Realização do Pregão Eletrônico juntada às fls. 1466/1508, na seguinte conformidade: Item 02 em favor de G </w:t>
      </w:r>
      <w:proofErr w:type="spellStart"/>
      <w:r>
        <w:rPr>
          <w:rFonts w:ascii="Verdana" w:hAnsi="Verdana"/>
          <w:color w:val="000000"/>
          <w:sz w:val="20"/>
          <w:szCs w:val="20"/>
        </w:rPr>
        <w:t>Partiner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Tecnologia </w:t>
      </w:r>
      <w:proofErr w:type="spellStart"/>
      <w:r>
        <w:rPr>
          <w:rFonts w:ascii="Verdana" w:hAnsi="Verdana"/>
          <w:color w:val="000000"/>
          <w:sz w:val="20"/>
          <w:szCs w:val="20"/>
        </w:rPr>
        <w:t>Eireli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Item 05 em favor Torino Informática Ltda.; Item 07 em favor de Lenovo Comercial e </w:t>
      </w:r>
      <w:proofErr w:type="spellStart"/>
      <w:r>
        <w:rPr>
          <w:rFonts w:ascii="Verdana" w:hAnsi="Verdana"/>
          <w:color w:val="000000"/>
          <w:sz w:val="20"/>
          <w:szCs w:val="20"/>
        </w:rPr>
        <w:t>DIstribuição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Ltda., e Item 11 em favor de Torino Informática Ltda.</w:t>
      </w:r>
    </w:p>
    <w:p w14:paraId="35FBD216" w14:textId="77777777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3D5A1ED5" w14:textId="77777777" w:rsidR="00861033" w:rsidRDefault="00861033" w:rsidP="0086103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Nos termos do item VII, do edital, as licitantes vencedoras ficam convocadas a comparecer na Rua Riachuelo, 115 - 6º andar - Assessoria Técnica da Diretoria-Geral - sala 613 - Centro - São Paulo - SP, para assinatura das Atas de Registros de Preços, no prazo e condições ali estabelecidos.</w:t>
      </w:r>
    </w:p>
    <w:p w14:paraId="0F23997E" w14:textId="77777777" w:rsidR="009F7412" w:rsidRPr="00861033" w:rsidRDefault="009F7412" w:rsidP="00861033"/>
    <w:sectPr w:rsidR="009F7412" w:rsidRPr="00861033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C107" w14:textId="77777777" w:rsidR="000F52A8" w:rsidRDefault="000F52A8" w:rsidP="009F7412">
      <w:r>
        <w:separator/>
      </w:r>
    </w:p>
  </w:endnote>
  <w:endnote w:type="continuationSeparator" w:id="0">
    <w:p w14:paraId="736E971F" w14:textId="77777777" w:rsidR="000F52A8" w:rsidRDefault="000F52A8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8336141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1315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27A516" w14:textId="63614750" w:rsidR="00AA4DD6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BE2D79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6D688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27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 w:rsidR="00BE2D79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FED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7F52B24" w14:textId="271BC526" w:rsidR="00AA4DD6" w:rsidRPr="0080767F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Pregão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0</w:t>
                    </w:r>
                    <w:r w:rsidR="006D688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28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848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06EF7A1A" id="Conector reto 10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0F52A8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7562" w14:textId="77777777" w:rsidR="000F52A8" w:rsidRDefault="000F52A8" w:rsidP="009F7412">
      <w:r>
        <w:separator/>
      </w:r>
    </w:p>
  </w:footnote>
  <w:footnote w:type="continuationSeparator" w:id="0">
    <w:p w14:paraId="4A49B28E" w14:textId="77777777" w:rsidR="000F52A8" w:rsidRDefault="000F52A8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2"/>
      <w:gridCol w:w="1099"/>
      <w:gridCol w:w="2710"/>
    </w:tblGrid>
    <w:tr w:rsidR="005D2C35" w14:paraId="2686DC0F" w14:textId="77777777" w:rsidTr="00AA4DD6">
      <w:trPr>
        <w:trHeight w:val="1235"/>
        <w:jc w:val="right"/>
      </w:trPr>
      <w:tc>
        <w:tcPr>
          <w:tcW w:w="2900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494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AA4DD6">
          <w:pPr>
            <w:pStyle w:val="Cabealho"/>
            <w:spacing w:line="276" w:lineRule="auto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886CD" id="Conector reto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F98"/>
    <w:rsid w:val="0004077D"/>
    <w:rsid w:val="00065578"/>
    <w:rsid w:val="00082CBD"/>
    <w:rsid w:val="00096EB4"/>
    <w:rsid w:val="000C7B68"/>
    <w:rsid w:val="000F52A8"/>
    <w:rsid w:val="00105706"/>
    <w:rsid w:val="00151C52"/>
    <w:rsid w:val="001738FB"/>
    <w:rsid w:val="00175329"/>
    <w:rsid w:val="00190D99"/>
    <w:rsid w:val="001F3826"/>
    <w:rsid w:val="002010AA"/>
    <w:rsid w:val="002174B9"/>
    <w:rsid w:val="00233C2D"/>
    <w:rsid w:val="00286C2E"/>
    <w:rsid w:val="0029381D"/>
    <w:rsid w:val="00294882"/>
    <w:rsid w:val="002C318C"/>
    <w:rsid w:val="002D779D"/>
    <w:rsid w:val="00331B2A"/>
    <w:rsid w:val="0035707F"/>
    <w:rsid w:val="00383AE6"/>
    <w:rsid w:val="00393959"/>
    <w:rsid w:val="003F10F9"/>
    <w:rsid w:val="003F27AD"/>
    <w:rsid w:val="0049000A"/>
    <w:rsid w:val="004C054F"/>
    <w:rsid w:val="00536815"/>
    <w:rsid w:val="005C4F73"/>
    <w:rsid w:val="005D2C35"/>
    <w:rsid w:val="00623913"/>
    <w:rsid w:val="0069419D"/>
    <w:rsid w:val="006C74EA"/>
    <w:rsid w:val="006D688B"/>
    <w:rsid w:val="00733E6D"/>
    <w:rsid w:val="007363AD"/>
    <w:rsid w:val="00753FD6"/>
    <w:rsid w:val="00784C85"/>
    <w:rsid w:val="007C2638"/>
    <w:rsid w:val="007C5BC3"/>
    <w:rsid w:val="007C5FD9"/>
    <w:rsid w:val="0080767F"/>
    <w:rsid w:val="008465C3"/>
    <w:rsid w:val="00861033"/>
    <w:rsid w:val="00883621"/>
    <w:rsid w:val="008C17DB"/>
    <w:rsid w:val="008E78C6"/>
    <w:rsid w:val="009F7412"/>
    <w:rsid w:val="00A03F18"/>
    <w:rsid w:val="00A079D1"/>
    <w:rsid w:val="00A45050"/>
    <w:rsid w:val="00A84285"/>
    <w:rsid w:val="00A9262E"/>
    <w:rsid w:val="00AA17F4"/>
    <w:rsid w:val="00AA4C9B"/>
    <w:rsid w:val="00AA4DD6"/>
    <w:rsid w:val="00AE5461"/>
    <w:rsid w:val="00AF3EC0"/>
    <w:rsid w:val="00B33C19"/>
    <w:rsid w:val="00B65366"/>
    <w:rsid w:val="00B9382D"/>
    <w:rsid w:val="00BC587E"/>
    <w:rsid w:val="00BD1F3C"/>
    <w:rsid w:val="00BE2D79"/>
    <w:rsid w:val="00BE3C44"/>
    <w:rsid w:val="00C04CF9"/>
    <w:rsid w:val="00C239F2"/>
    <w:rsid w:val="00CA2C86"/>
    <w:rsid w:val="00CD2EAF"/>
    <w:rsid w:val="00D82D3D"/>
    <w:rsid w:val="00DA7575"/>
    <w:rsid w:val="00DB106F"/>
    <w:rsid w:val="00DB7B12"/>
    <w:rsid w:val="00DE54E3"/>
    <w:rsid w:val="00DF36FA"/>
    <w:rsid w:val="00E75EA7"/>
    <w:rsid w:val="00EC69C4"/>
    <w:rsid w:val="00EF486F"/>
    <w:rsid w:val="00EF5B32"/>
    <w:rsid w:val="00F57F8A"/>
    <w:rsid w:val="00F63C9E"/>
    <w:rsid w:val="00F95F8A"/>
    <w:rsid w:val="00FA691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3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C1F7B-D617-4C8E-B732-85E6978E8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3</cp:revision>
  <cp:lastPrinted>2019-05-27T16:39:00Z</cp:lastPrinted>
  <dcterms:created xsi:type="dcterms:W3CDTF">2019-06-06T16:08:00Z</dcterms:created>
  <dcterms:modified xsi:type="dcterms:W3CDTF">2019-06-06T16:11:00Z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