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70AA" w14:textId="4637417B" w:rsidR="7BFCFEFF" w:rsidRDefault="7BFCFEFF" w:rsidP="47A8853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7A88536">
        <w:rPr>
          <w:rFonts w:ascii="Arial" w:eastAsia="Arial" w:hAnsi="Arial" w:cs="Arial"/>
          <w:b/>
          <w:bCs/>
          <w:sz w:val="24"/>
          <w:szCs w:val="24"/>
        </w:rPr>
        <w:t xml:space="preserve">RESPOSTAS AOS </w:t>
      </w:r>
      <w:r w:rsidR="66F0D24F" w:rsidRPr="47A88536">
        <w:rPr>
          <w:rFonts w:ascii="Arial" w:eastAsia="Arial" w:hAnsi="Arial" w:cs="Arial"/>
          <w:b/>
          <w:bCs/>
          <w:sz w:val="24"/>
          <w:szCs w:val="24"/>
        </w:rPr>
        <w:t>QUESTIONAMENTOS</w:t>
      </w:r>
    </w:p>
    <w:p w14:paraId="4B9802E6" w14:textId="77777777" w:rsidR="00EC44FA" w:rsidRDefault="00EC44FA" w:rsidP="00EC44F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 PRESIDENTE DA COMISSÃO FAZ SABER</w:t>
      </w:r>
      <w:r>
        <w:rPr>
          <w:rFonts w:ascii="Arial" w:hAnsi="Arial" w:cs="Arial"/>
        </w:rPr>
        <w:t xml:space="preserve"> a todos quanto o presente edital virem ou dele tiverem conhecimento, o esclarecimento que segue, em atendimento ao disposto no edital item 19 – alínea 19.5.</w:t>
      </w:r>
    </w:p>
    <w:p w14:paraId="2E0805E5" w14:textId="37419BA8" w:rsidR="5BD6E345" w:rsidRDefault="5BD6E345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 xml:space="preserve">1 – Na Planilha Orçamentária, não estão inclusos os custos relativos a Administração do Canteiro de Obras: </w:t>
      </w:r>
    </w:p>
    <w:p w14:paraId="22EB9DE2" w14:textId="0613CBFC" w:rsidR="5BD6E345" w:rsidRDefault="5BD6E345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>2 – Na Planilha Orçamentária, não estão inclusos os custos relativos a Montagem do Canteiro de Obras:</w:t>
      </w:r>
    </w:p>
    <w:p w14:paraId="52170C41" w14:textId="6F66B130" w:rsidR="5BD6E345" w:rsidRDefault="5BD6E345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 xml:space="preserve">3 – Na Planilha Orçamentária, não estão inclusos os custos relativos a Manutenção do Canteiro de Obras: </w:t>
      </w:r>
    </w:p>
    <w:p w14:paraId="30C0C04B" w14:textId="500153C7" w:rsidR="5BD6E345" w:rsidRDefault="5BD6E345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 xml:space="preserve">Estes itens são custos diretos da obra e segundo acórdão do TCU deve compor a planilha de custos da obra. São custos essenciais à execução e boas condições de funcionamento de uma obra de engenharia desse porte e do canteiro durante o período da obra e onerosos para a empresa que irá executar o contrato. </w:t>
      </w:r>
    </w:p>
    <w:p w14:paraId="4EEC43F1" w14:textId="67DDF602" w:rsidR="5BD6E345" w:rsidRDefault="5BD6E345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>Como a Contratante irá medir e pagar estes serviços durante a execução do contrato?</w:t>
      </w:r>
    </w:p>
    <w:p w14:paraId="6EDB9943" w14:textId="1B0C157A" w:rsidR="47A88536" w:rsidRDefault="47A88536" w:rsidP="47A88536">
      <w:pPr>
        <w:jc w:val="both"/>
        <w:rPr>
          <w:rFonts w:ascii="Arial" w:eastAsia="Arial" w:hAnsi="Arial" w:cs="Arial"/>
          <w:i/>
          <w:iCs/>
        </w:rPr>
      </w:pPr>
    </w:p>
    <w:p w14:paraId="7FCD33AB" w14:textId="0D31D435" w:rsidR="2CA5CCA5" w:rsidRDefault="2CA5CCA5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b/>
          <w:bCs/>
          <w:color w:val="000000" w:themeColor="text1"/>
        </w:rPr>
        <w:t>R.:</w:t>
      </w:r>
      <w:r w:rsidRPr="47A88536">
        <w:rPr>
          <w:rFonts w:ascii="Arial" w:eastAsia="Arial" w:hAnsi="Arial" w:cs="Arial"/>
          <w:color w:val="000000" w:themeColor="text1"/>
        </w:rPr>
        <w:t xml:space="preserve"> </w:t>
      </w:r>
      <w:r w:rsidR="5BD6E345" w:rsidRPr="47A88536">
        <w:rPr>
          <w:rFonts w:ascii="Arial" w:eastAsia="Arial" w:hAnsi="Arial" w:cs="Arial"/>
          <w:color w:val="000000" w:themeColor="text1"/>
        </w:rPr>
        <w:t>Os custos indiretos podem ser aferidos pelo BDI, Benefícios e Despesas Indiretas – que é uma taxa percentual determinada pela contratante que incide sobre todos os preços compostos pela mão de obra, encargos sociais e trabalhistas, materiais e equipamentos incluindo os tributos necessários e fretes (tabela anexa).</w:t>
      </w:r>
    </w:p>
    <w:p w14:paraId="5B519C53" w14:textId="1535601E" w:rsidR="5BD6E345" w:rsidRDefault="5BD6E345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>O BDI calculado por esta Instituição para a obra em tela remunera as despesas a seguir relacionadas:</w:t>
      </w:r>
    </w:p>
    <w:p w14:paraId="1A418317" w14:textId="02A0F940" w:rsidR="5BD6E345" w:rsidRDefault="5BD6E345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 xml:space="preserve"> </w:t>
      </w:r>
    </w:p>
    <w:p w14:paraId="566F7308" w14:textId="35642146" w:rsidR="5BD6E345" w:rsidRDefault="5BD6E345" w:rsidP="47A88536">
      <w:pPr>
        <w:pStyle w:val="PargrafodaLista"/>
        <w:numPr>
          <w:ilvl w:val="1"/>
          <w:numId w:val="1"/>
        </w:numPr>
        <w:jc w:val="both"/>
        <w:rPr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 xml:space="preserve">Equipe administrativa da sede da empresa composta por: diretoria, engenheiro, chefe de escritório, encarregado de compras, auxiliar de escritório, contador, etc.; </w:t>
      </w:r>
    </w:p>
    <w:p w14:paraId="29491036" w14:textId="77081281" w:rsidR="5BD6E345" w:rsidRDefault="5BD6E345" w:rsidP="47A88536">
      <w:pPr>
        <w:pStyle w:val="PargrafodaLista"/>
        <w:numPr>
          <w:ilvl w:val="1"/>
          <w:numId w:val="1"/>
        </w:numPr>
        <w:jc w:val="both"/>
        <w:rPr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>Equipe administrativa de campo, composta por: engenheiro, profissionais especialistas, mestre de obras, encarregados, apontador, vigia, fiscal de obras e etc., ou seja, todos os profissionais a serem utilizados durante a execução do contrato.</w:t>
      </w:r>
    </w:p>
    <w:p w14:paraId="3E357978" w14:textId="4A9443F0" w:rsidR="5BD6E345" w:rsidRPr="00947B57" w:rsidRDefault="5BD6E345" w:rsidP="00947B57">
      <w:pPr>
        <w:pStyle w:val="PargrafodaLista"/>
        <w:numPr>
          <w:ilvl w:val="1"/>
          <w:numId w:val="1"/>
        </w:numPr>
        <w:jc w:val="both"/>
        <w:rPr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 xml:space="preserve">Despesas na sede da empresa e no canteiro de obras com: aluguéis, impostos, taxas, </w:t>
      </w:r>
      <w:r w:rsidR="00947B57" w:rsidRPr="00947B57">
        <w:rPr>
          <w:rFonts w:ascii="Arial" w:eastAsia="Arial" w:hAnsi="Arial" w:cs="Arial"/>
          <w:color w:val="000000" w:themeColor="text1"/>
        </w:rPr>
        <w:t>l</w:t>
      </w:r>
      <w:r w:rsidRPr="00947B57">
        <w:rPr>
          <w:rFonts w:ascii="Arial" w:eastAsia="Arial" w:hAnsi="Arial" w:cs="Arial"/>
          <w:color w:val="000000" w:themeColor="text1"/>
        </w:rPr>
        <w:t>icenças, tarifas de energia elétrica e de água, telecomunicações, materiais de consumo e limpeza, veículos para transporte de pessoal na obra, provisão e suprimentos de água e energia elétrica no canteiro, transporte local, manuseio, guarda e administração na obra, ferramentas, equipamentos de transportes para execução dos serviços, tais como, andaimes, equipamentos de proteção individual e de segurança, higiene, sinalização contra acidentes de trabalho e de trânsito, alojamento e alimentação de pessoal e outras despesas não discriminadas e não remuneradas à parte ou não remunerado como insumo na composição de preço unitário.</w:t>
      </w:r>
    </w:p>
    <w:p w14:paraId="5B657257" w14:textId="6D47D13B" w:rsidR="5BD6E345" w:rsidRDefault="5BD6E345" w:rsidP="47A88536">
      <w:pPr>
        <w:pStyle w:val="PargrafodaLista"/>
        <w:numPr>
          <w:ilvl w:val="1"/>
          <w:numId w:val="1"/>
        </w:numPr>
        <w:jc w:val="both"/>
        <w:rPr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>Acompanhamento topográfico da obra, exceto se previsto na composição de preços unitários;</w:t>
      </w:r>
    </w:p>
    <w:p w14:paraId="57E64DDE" w14:textId="2DD85F0F" w:rsidR="5BD6E345" w:rsidRDefault="5BD6E345" w:rsidP="47A88536">
      <w:pPr>
        <w:pStyle w:val="PargrafodaLista"/>
        <w:numPr>
          <w:ilvl w:val="1"/>
          <w:numId w:val="1"/>
        </w:numPr>
        <w:jc w:val="both"/>
        <w:rPr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>Lucro, seguros e riscos.</w:t>
      </w:r>
    </w:p>
    <w:p w14:paraId="66516B90" w14:textId="4C75C21A" w:rsidR="5BD6E345" w:rsidRDefault="5BD6E345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lastRenderedPageBreak/>
        <w:t xml:space="preserve"> </w:t>
      </w:r>
    </w:p>
    <w:p w14:paraId="1A759EE4" w14:textId="2AD630CF" w:rsidR="5BD6E345" w:rsidRDefault="5BD6E345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color w:val="000000" w:themeColor="text1"/>
        </w:rPr>
        <w:t>Assim, após a elaboração da planilha de custos foi acrescido BDI de 25%, calculado para este tipo de serviço, em concordância com Acórdão nº 2622/2013 do TCU, “com o objetivo de definir faixas aceitáveis para valores de taxas de Benefícios e Despesas Indiretas (BDI) específicas para cada tipo de obra pública e para aquisição de materiais e equipamentos relevantes, bem como efetuar o exame detalhado da adequabilidade dos percentuais para as referidas taxas adotados em dois julgados desta Corte de Contas (Acórdãos ns.325/2007 e 2.369/2011), ambos do Plenário, com utilização de critérios contábeis e estatísticos e controle da representatividade das amostras selecionadas.</w:t>
      </w:r>
    </w:p>
    <w:p w14:paraId="327421BF" w14:textId="5350F022" w:rsidR="2A601E88" w:rsidRDefault="2A601E88" w:rsidP="47A88536">
      <w:pPr>
        <w:ind w:left="708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47A88536">
        <w:rPr>
          <w:rFonts w:ascii="Arial" w:eastAsia="Arial" w:hAnsi="Arial" w:cs="Arial"/>
          <w:i/>
          <w:iCs/>
          <w:color w:val="000000" w:themeColor="text1"/>
        </w:rPr>
        <w:t>“</w:t>
      </w:r>
      <w:r w:rsidR="5BD6E345" w:rsidRPr="47A88536">
        <w:rPr>
          <w:rFonts w:ascii="Arial" w:eastAsia="Arial" w:hAnsi="Arial" w:cs="Arial"/>
          <w:i/>
          <w:iCs/>
          <w:color w:val="000000" w:themeColor="text1"/>
        </w:rPr>
        <w:t xml:space="preserve">9.1. determinar às unidades técnicas deste Tribunal que, nas análises do orçamento de obras públicas, utilizem os parâmetros para taxas de BDI a seguir especificados, em substituição aos referenciais contidos nos Acórdãos </w:t>
      </w:r>
      <w:proofErr w:type="spellStart"/>
      <w:r w:rsidR="5BD6E345" w:rsidRPr="47A88536">
        <w:rPr>
          <w:rFonts w:ascii="Arial" w:eastAsia="Arial" w:hAnsi="Arial" w:cs="Arial"/>
          <w:i/>
          <w:iCs/>
          <w:color w:val="000000" w:themeColor="text1"/>
        </w:rPr>
        <w:t>nºs</w:t>
      </w:r>
      <w:proofErr w:type="spellEnd"/>
      <w:r w:rsidR="5BD6E345" w:rsidRPr="47A88536">
        <w:rPr>
          <w:rFonts w:ascii="Arial" w:eastAsia="Arial" w:hAnsi="Arial" w:cs="Arial"/>
          <w:i/>
          <w:iCs/>
          <w:color w:val="000000" w:themeColor="text1"/>
        </w:rPr>
        <w:t>. 325/2007 e 2.369/2011:</w:t>
      </w:r>
      <w:r w:rsidR="10B9F990" w:rsidRPr="47A88536">
        <w:rPr>
          <w:rFonts w:ascii="Arial" w:eastAsia="Arial" w:hAnsi="Arial" w:cs="Arial"/>
          <w:i/>
          <w:iCs/>
          <w:color w:val="000000" w:themeColor="text1"/>
        </w:rPr>
        <w:t>”</w:t>
      </w:r>
    </w:p>
    <w:tbl>
      <w:tblPr>
        <w:tblStyle w:val="Tabelacomgrade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490"/>
        <w:gridCol w:w="2023"/>
        <w:gridCol w:w="1980"/>
        <w:gridCol w:w="1912"/>
      </w:tblGrid>
      <w:tr w:rsidR="47A88536" w14:paraId="3F1AF6AB" w14:textId="77777777" w:rsidTr="47A88536">
        <w:tc>
          <w:tcPr>
            <w:tcW w:w="8405" w:type="dxa"/>
            <w:gridSpan w:val="4"/>
            <w:vAlign w:val="center"/>
          </w:tcPr>
          <w:p w14:paraId="05D20CB6" w14:textId="19F8B3D8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VALORES DO BDI POR TIPO DE OBRA</w:t>
            </w:r>
          </w:p>
        </w:tc>
      </w:tr>
      <w:tr w:rsidR="47A88536" w14:paraId="22F151CF" w14:textId="77777777" w:rsidTr="47A88536">
        <w:tc>
          <w:tcPr>
            <w:tcW w:w="2490" w:type="dxa"/>
            <w:vAlign w:val="center"/>
          </w:tcPr>
          <w:p w14:paraId="398F9975" w14:textId="0F685580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TIPOS DE OBRA</w:t>
            </w:r>
          </w:p>
        </w:tc>
        <w:tc>
          <w:tcPr>
            <w:tcW w:w="2023" w:type="dxa"/>
            <w:vAlign w:val="center"/>
          </w:tcPr>
          <w:p w14:paraId="614BF915" w14:textId="51AD8CF2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1º Quartil</w:t>
            </w:r>
          </w:p>
        </w:tc>
        <w:tc>
          <w:tcPr>
            <w:tcW w:w="1980" w:type="dxa"/>
            <w:vAlign w:val="center"/>
          </w:tcPr>
          <w:p w14:paraId="27FDD9B1" w14:textId="26E9E9CC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Médio</w:t>
            </w:r>
          </w:p>
        </w:tc>
        <w:tc>
          <w:tcPr>
            <w:tcW w:w="1912" w:type="dxa"/>
            <w:vAlign w:val="center"/>
          </w:tcPr>
          <w:p w14:paraId="6596AE9B" w14:textId="26FAB672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3º Quartil</w:t>
            </w:r>
          </w:p>
        </w:tc>
      </w:tr>
      <w:tr w:rsidR="47A88536" w14:paraId="5D4EB181" w14:textId="77777777" w:rsidTr="47A88536">
        <w:tc>
          <w:tcPr>
            <w:tcW w:w="2490" w:type="dxa"/>
            <w:vAlign w:val="center"/>
          </w:tcPr>
          <w:p w14:paraId="492E61AF" w14:textId="53BA2FFD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CONSTRUÇÃO DE EDIFÍCIOS</w:t>
            </w:r>
          </w:p>
        </w:tc>
        <w:tc>
          <w:tcPr>
            <w:tcW w:w="2023" w:type="dxa"/>
            <w:vAlign w:val="center"/>
          </w:tcPr>
          <w:p w14:paraId="0FD05310" w14:textId="454F5BCD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20,34%</w:t>
            </w:r>
          </w:p>
        </w:tc>
        <w:tc>
          <w:tcPr>
            <w:tcW w:w="1980" w:type="dxa"/>
            <w:vAlign w:val="center"/>
          </w:tcPr>
          <w:p w14:paraId="75AF4021" w14:textId="38975476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22,12%</w:t>
            </w:r>
          </w:p>
        </w:tc>
        <w:tc>
          <w:tcPr>
            <w:tcW w:w="1912" w:type="dxa"/>
            <w:vAlign w:val="center"/>
          </w:tcPr>
          <w:p w14:paraId="30108C81" w14:textId="5C3F81F1" w:rsidR="47A88536" w:rsidRDefault="47A88536" w:rsidP="47A8853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7A8853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25,00%</w:t>
            </w:r>
          </w:p>
        </w:tc>
      </w:tr>
    </w:tbl>
    <w:p w14:paraId="7940994E" w14:textId="0920B498" w:rsidR="59408AEA" w:rsidRDefault="59408AEA" w:rsidP="47A88536">
      <w:pPr>
        <w:ind w:left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A885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C6D1FD4" w14:textId="3FD2170B" w:rsidR="59408AEA" w:rsidRDefault="59408AEA" w:rsidP="47A88536">
      <w:pPr>
        <w:jc w:val="both"/>
      </w:pPr>
      <w:r w:rsidRPr="47A88536">
        <w:rPr>
          <w:rFonts w:ascii="Calibri" w:eastAsia="Calibri" w:hAnsi="Calibri" w:cs="Calibri"/>
          <w:sz w:val="18"/>
          <w:szCs w:val="18"/>
        </w:rPr>
        <w:t xml:space="preserve"> </w:t>
      </w:r>
    </w:p>
    <w:p w14:paraId="5F495333" w14:textId="7EF37D90" w:rsidR="59408AEA" w:rsidRDefault="59408AEA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 xml:space="preserve">4 – O espaço físico destinado à realização dos serviços do objeto estará livre, desocupado e liberados para início da obra? </w:t>
      </w:r>
    </w:p>
    <w:p w14:paraId="35D817E5" w14:textId="6BCBB148" w:rsidR="47A88536" w:rsidRDefault="47A88536" w:rsidP="47A88536">
      <w:pPr>
        <w:jc w:val="both"/>
        <w:rPr>
          <w:rFonts w:ascii="Arial" w:eastAsia="Arial" w:hAnsi="Arial" w:cs="Arial"/>
          <w:i/>
          <w:iCs/>
        </w:rPr>
      </w:pPr>
    </w:p>
    <w:p w14:paraId="35C11B35" w14:textId="6A28220D" w:rsidR="688B6DC5" w:rsidRDefault="688B6DC5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b/>
          <w:bCs/>
          <w:color w:val="000000" w:themeColor="text1"/>
        </w:rPr>
        <w:t xml:space="preserve">R.: </w:t>
      </w:r>
      <w:r w:rsidR="59408AEA" w:rsidRPr="47A88536">
        <w:rPr>
          <w:rFonts w:ascii="Arial" w:eastAsia="Arial" w:hAnsi="Arial" w:cs="Arial"/>
          <w:color w:val="000000" w:themeColor="text1"/>
        </w:rPr>
        <w:t>Está previsto um período de 60 dias para os preparativos técnicos, institucionais e logísticos necessários à execução da obra, incluindo-se a preparação e análise dos projetos executivos e implantação do canteiro. Como trata-se de área de uso compartilhado por entes da administração estadual, nesse período ocorrerão os trâmites necessários entre as instituições para liberação da área até o início da fase de obras, dentro das possibilidades do MPSP.</w:t>
      </w:r>
    </w:p>
    <w:p w14:paraId="4C2E020C" w14:textId="40835EBE" w:rsidR="59408AEA" w:rsidRDefault="59408AEA" w:rsidP="47A88536">
      <w:pPr>
        <w:jc w:val="both"/>
        <w:rPr>
          <w:rFonts w:ascii="Arial" w:eastAsia="Arial" w:hAnsi="Arial" w:cs="Arial"/>
        </w:rPr>
      </w:pPr>
      <w:r w:rsidRPr="47A88536">
        <w:rPr>
          <w:rFonts w:ascii="Arial" w:eastAsia="Arial" w:hAnsi="Arial" w:cs="Arial"/>
        </w:rPr>
        <w:t xml:space="preserve"> </w:t>
      </w:r>
    </w:p>
    <w:p w14:paraId="4D9EE981" w14:textId="2401A60C" w:rsidR="59408AEA" w:rsidRDefault="59408AEA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 xml:space="preserve">5 – As licenças junto à prefeitura, bombeiros, concessionárias de água, energia e telefone, meio ambiente e outras serão a cargo da Contratante? </w:t>
      </w:r>
    </w:p>
    <w:p w14:paraId="6D6D5197" w14:textId="1F2245F8" w:rsidR="59408AEA" w:rsidRDefault="59408AEA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>Na Planilha Orçamentária não há nenhum item que contemple a execução desses serviços por parte da contratada.</w:t>
      </w:r>
    </w:p>
    <w:p w14:paraId="2F3CCD8F" w14:textId="5E80BBD2" w:rsidR="47A88536" w:rsidRDefault="47A88536" w:rsidP="47A88536">
      <w:pPr>
        <w:jc w:val="both"/>
        <w:rPr>
          <w:rFonts w:ascii="Arial" w:eastAsia="Arial" w:hAnsi="Arial" w:cs="Arial"/>
          <w:i/>
          <w:iCs/>
        </w:rPr>
      </w:pPr>
    </w:p>
    <w:p w14:paraId="62A2CAA6" w14:textId="71FDDC7B" w:rsidR="58DEFC0C" w:rsidRDefault="58DEFC0C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b/>
          <w:bCs/>
          <w:color w:val="000000" w:themeColor="text1"/>
        </w:rPr>
        <w:t xml:space="preserve">R.: </w:t>
      </w:r>
      <w:r w:rsidR="59408AEA" w:rsidRPr="47A88536">
        <w:rPr>
          <w:rFonts w:ascii="Arial" w:eastAsia="Arial" w:hAnsi="Arial" w:cs="Arial"/>
          <w:color w:val="000000" w:themeColor="text1"/>
        </w:rPr>
        <w:t>Os serviços de acompanhamento, assim como demais serviços de administração, deverão fazer parte da composição do BDI. Quanto às taxas e emolumentos, esclareço que o MPSP possui imunidade tributária, não incidindo, de maneira geral, os custos sobre a tramitação dos processos junto a entidades da Administração Direta.</w:t>
      </w:r>
    </w:p>
    <w:p w14:paraId="71E9F23B" w14:textId="4E2244B3" w:rsidR="59408AEA" w:rsidRDefault="59408AEA" w:rsidP="47A88536">
      <w:pPr>
        <w:jc w:val="both"/>
        <w:rPr>
          <w:rFonts w:ascii="Arial" w:eastAsia="Arial" w:hAnsi="Arial" w:cs="Arial"/>
        </w:rPr>
      </w:pPr>
      <w:r w:rsidRPr="47A88536">
        <w:rPr>
          <w:rFonts w:ascii="Arial" w:eastAsia="Arial" w:hAnsi="Arial" w:cs="Arial"/>
        </w:rPr>
        <w:t xml:space="preserve"> </w:t>
      </w:r>
    </w:p>
    <w:p w14:paraId="07EEFE82" w14:textId="5D386A37" w:rsidR="59408AEA" w:rsidRDefault="59408AEA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>6 – Como serão tratados os serviços não constantes da Planilha Orçamentária e que sejam necessários sua execução em função dos projetos e memoriais descritivos a serem desenvolvidos?</w:t>
      </w:r>
    </w:p>
    <w:p w14:paraId="70A15289" w14:textId="1A57D2A7" w:rsidR="47A88536" w:rsidRDefault="47A88536" w:rsidP="47A88536">
      <w:pPr>
        <w:jc w:val="both"/>
        <w:rPr>
          <w:rFonts w:ascii="Arial" w:eastAsia="Arial" w:hAnsi="Arial" w:cs="Arial"/>
          <w:i/>
          <w:iCs/>
        </w:rPr>
      </w:pPr>
    </w:p>
    <w:p w14:paraId="6C8DE413" w14:textId="4C9CBBC0" w:rsidR="4113AD55" w:rsidRDefault="4113AD55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b/>
          <w:bCs/>
          <w:color w:val="000000" w:themeColor="text1"/>
        </w:rPr>
        <w:t>R.:</w:t>
      </w:r>
      <w:r w:rsidRPr="47A88536">
        <w:rPr>
          <w:rFonts w:ascii="Arial" w:eastAsia="Arial" w:hAnsi="Arial" w:cs="Arial"/>
          <w:color w:val="000000" w:themeColor="text1"/>
        </w:rPr>
        <w:t xml:space="preserve"> </w:t>
      </w:r>
      <w:r w:rsidR="59408AEA" w:rsidRPr="47A88536">
        <w:rPr>
          <w:rFonts w:ascii="Arial" w:eastAsia="Arial" w:hAnsi="Arial" w:cs="Arial"/>
          <w:color w:val="000000" w:themeColor="text1"/>
        </w:rPr>
        <w:t>Não é possível responder de forma precisa a um questionamento sobre hipótese genérica de fato que pode vir a ocorrer. Caso seja identificado serviço necessário à execução e que não conste da planilha, é necessário que este seja apontado para avaliação concreta da situação.</w:t>
      </w:r>
    </w:p>
    <w:p w14:paraId="71656B3A" w14:textId="05FFBD68" w:rsidR="47A88536" w:rsidRDefault="47A88536" w:rsidP="47A88536">
      <w:pPr>
        <w:jc w:val="both"/>
        <w:rPr>
          <w:rFonts w:ascii="Arial" w:eastAsia="Arial" w:hAnsi="Arial" w:cs="Arial"/>
        </w:rPr>
      </w:pPr>
    </w:p>
    <w:p w14:paraId="4AE4864D" w14:textId="35115271" w:rsidR="25D0F549" w:rsidRDefault="25D0F549" w:rsidP="47A88536">
      <w:pPr>
        <w:jc w:val="both"/>
        <w:rPr>
          <w:rFonts w:ascii="Arial" w:eastAsia="Arial" w:hAnsi="Arial" w:cs="Arial"/>
          <w:i/>
          <w:iCs/>
        </w:rPr>
      </w:pPr>
      <w:r w:rsidRPr="47A88536">
        <w:rPr>
          <w:rFonts w:ascii="Arial" w:eastAsia="Arial" w:hAnsi="Arial" w:cs="Arial"/>
          <w:i/>
          <w:iCs/>
        </w:rPr>
        <w:t>7 – Existem alguns serviços constantes na Planilha Orçamentária, que sem os detalhes do projeto não há possibilidade de exatidão em seu orçamento como o item 37.16.071 “Sistema de barramento blindado de 100 a 2500 A, trifásico, barra de cobre”. Cada trecho corresponderá a uma intensidade calculada e consequentemente a um valor diferente. Como proceder? Quais quantitativos, intensidades e custos por trecho?</w:t>
      </w:r>
    </w:p>
    <w:p w14:paraId="618327CC" w14:textId="267C4D3D" w:rsidR="47A88536" w:rsidRDefault="47A88536" w:rsidP="47A88536">
      <w:pPr>
        <w:jc w:val="both"/>
        <w:rPr>
          <w:rFonts w:ascii="Arial" w:eastAsia="Arial" w:hAnsi="Arial" w:cs="Arial"/>
          <w:i/>
          <w:iCs/>
        </w:rPr>
      </w:pPr>
    </w:p>
    <w:p w14:paraId="43B8CD72" w14:textId="3DE75BFF" w:rsidR="5C955AD2" w:rsidRDefault="5C955AD2" w:rsidP="47A88536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47A88536">
        <w:rPr>
          <w:rFonts w:ascii="Arial" w:eastAsia="Arial" w:hAnsi="Arial" w:cs="Arial"/>
          <w:b/>
          <w:bCs/>
          <w:color w:val="000000" w:themeColor="text1"/>
        </w:rPr>
        <w:t>R.:</w:t>
      </w:r>
      <w:r w:rsidRPr="47A88536">
        <w:rPr>
          <w:rFonts w:ascii="Arial" w:eastAsia="Arial" w:hAnsi="Arial" w:cs="Arial"/>
          <w:color w:val="000000" w:themeColor="text1"/>
        </w:rPr>
        <w:t xml:space="preserve"> </w:t>
      </w:r>
      <w:r w:rsidR="25D0F549" w:rsidRPr="47A88536">
        <w:rPr>
          <w:rFonts w:ascii="Arial" w:eastAsia="Arial" w:hAnsi="Arial" w:cs="Arial"/>
          <w:color w:val="000000" w:themeColor="text1"/>
        </w:rPr>
        <w:t xml:space="preserve">Os trajetos do barramento </w:t>
      </w:r>
      <w:proofErr w:type="spellStart"/>
      <w:r w:rsidR="25D0F549" w:rsidRPr="47A88536">
        <w:rPr>
          <w:rFonts w:ascii="Arial" w:eastAsia="Arial" w:hAnsi="Arial" w:cs="Arial"/>
          <w:i/>
          <w:iCs/>
          <w:color w:val="000000" w:themeColor="text1"/>
        </w:rPr>
        <w:t>busway</w:t>
      </w:r>
      <w:proofErr w:type="spellEnd"/>
      <w:r w:rsidR="25D0F549" w:rsidRPr="47A88536">
        <w:rPr>
          <w:rFonts w:ascii="Arial" w:eastAsia="Arial" w:hAnsi="Arial" w:cs="Arial"/>
          <w:color w:val="000000" w:themeColor="text1"/>
        </w:rPr>
        <w:t xml:space="preserve"> foram indicados em projeto básico, cujas capacidades serão compatíveis aos respectivos circuitos de transformadores inseridos em planilha, bem como carga e demanda estimada.</w:t>
      </w:r>
    </w:p>
    <w:p w14:paraId="4D113E72" w14:textId="6A5B75F4" w:rsidR="47A88536" w:rsidRDefault="47A88536" w:rsidP="47A88536">
      <w:pPr>
        <w:jc w:val="both"/>
        <w:rPr>
          <w:rFonts w:ascii="Arial" w:eastAsia="Arial" w:hAnsi="Arial" w:cs="Arial"/>
          <w:color w:val="006FC9"/>
          <w:sz w:val="20"/>
          <w:szCs w:val="20"/>
        </w:rPr>
      </w:pPr>
    </w:p>
    <w:p w14:paraId="428B05AD" w14:textId="5B5EF300" w:rsidR="009739B6" w:rsidRDefault="009739B6" w:rsidP="009739B6">
      <w:pPr>
        <w:pStyle w:val="Corpodetexto2"/>
        <w:suppressAutoHyphens/>
        <w:jc w:val="center"/>
        <w:rPr>
          <w:rFonts w:ascii="Arial" w:hAnsi="Arial" w:cs="Arial"/>
          <w:sz w:val="22"/>
          <w:szCs w:val="22"/>
        </w:rPr>
      </w:pPr>
      <w:r w:rsidRPr="00B35803">
        <w:rPr>
          <w:rFonts w:ascii="Arial" w:hAnsi="Arial" w:cs="Arial"/>
          <w:sz w:val="22"/>
          <w:szCs w:val="22"/>
        </w:rPr>
        <w:t>Comissão Julgadora de Licitações, aos 2</w:t>
      </w:r>
      <w:r>
        <w:rPr>
          <w:rFonts w:ascii="Arial" w:hAnsi="Arial" w:cs="Arial"/>
          <w:sz w:val="22"/>
          <w:szCs w:val="22"/>
        </w:rPr>
        <w:t>9</w:t>
      </w:r>
      <w:r w:rsidRPr="00B35803">
        <w:rPr>
          <w:rFonts w:ascii="Arial" w:hAnsi="Arial" w:cs="Arial"/>
          <w:sz w:val="22"/>
          <w:szCs w:val="22"/>
        </w:rPr>
        <w:t xml:space="preserve"> de agosto de 2019</w:t>
      </w:r>
    </w:p>
    <w:p w14:paraId="6A65A492" w14:textId="77777777" w:rsidR="009739B6" w:rsidRPr="00B35803" w:rsidRDefault="009739B6" w:rsidP="009739B6">
      <w:pPr>
        <w:pStyle w:val="Corpodetexto2"/>
        <w:suppressAutoHyphens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X="19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739B6" w:rsidRPr="00B35803" w14:paraId="1F5DA8DB" w14:textId="77777777" w:rsidTr="00516C6D">
        <w:trPr>
          <w:trHeight w:val="17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67765D" w14:textId="77777777" w:rsidR="009739B6" w:rsidRPr="00B35803" w:rsidRDefault="009739B6" w:rsidP="00516C6D">
            <w:pPr>
              <w:pStyle w:val="Ttulo2"/>
              <w:rPr>
                <w:rFonts w:cs="Arial"/>
                <w:szCs w:val="22"/>
              </w:rPr>
            </w:pPr>
            <w:r w:rsidRPr="00B35803">
              <w:rPr>
                <w:rFonts w:cs="Arial"/>
                <w:szCs w:val="22"/>
              </w:rPr>
              <w:t>RONALD CARAMIT GOMES</w:t>
            </w:r>
          </w:p>
          <w:p w14:paraId="1434BB42" w14:textId="77777777" w:rsidR="009739B6" w:rsidRPr="00B35803" w:rsidRDefault="009739B6" w:rsidP="00516C6D">
            <w:pPr>
              <w:pStyle w:val="Ttulo2"/>
              <w:rPr>
                <w:rFonts w:cs="Arial"/>
                <w:b w:val="0"/>
                <w:szCs w:val="22"/>
              </w:rPr>
            </w:pPr>
            <w:r w:rsidRPr="00B35803">
              <w:rPr>
                <w:rFonts w:cs="Arial"/>
                <w:b w:val="0"/>
                <w:szCs w:val="22"/>
              </w:rPr>
              <w:t>Presidente</w:t>
            </w:r>
          </w:p>
          <w:p w14:paraId="460094EA" w14:textId="77777777" w:rsidR="009739B6" w:rsidRPr="00B35803" w:rsidRDefault="009739B6" w:rsidP="00516C6D">
            <w:pPr>
              <w:jc w:val="center"/>
              <w:rPr>
                <w:rFonts w:ascii="Arial" w:hAnsi="Arial" w:cs="Arial"/>
              </w:rPr>
            </w:pPr>
            <w:r w:rsidRPr="00B35803">
              <w:rPr>
                <w:rFonts w:ascii="Arial" w:hAnsi="Arial" w:cs="Arial"/>
              </w:rPr>
              <w:t>Matrícula nº 007.778</w:t>
            </w:r>
          </w:p>
        </w:tc>
      </w:tr>
    </w:tbl>
    <w:p w14:paraId="4EAFBF6C" w14:textId="4687D483" w:rsidR="47A88536" w:rsidRDefault="47A88536" w:rsidP="47A88536"/>
    <w:sectPr w:rsidR="47A885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2953"/>
    <w:multiLevelType w:val="hybridMultilevel"/>
    <w:tmpl w:val="10923308"/>
    <w:lvl w:ilvl="0" w:tplc="0E46E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2C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8D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A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6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9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A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A1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2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F4054B"/>
    <w:rsid w:val="00947B57"/>
    <w:rsid w:val="009739B6"/>
    <w:rsid w:val="00A65C12"/>
    <w:rsid w:val="00EC44FA"/>
    <w:rsid w:val="0203E3EF"/>
    <w:rsid w:val="040F98C9"/>
    <w:rsid w:val="06F7210F"/>
    <w:rsid w:val="10B9F990"/>
    <w:rsid w:val="12FFC1F7"/>
    <w:rsid w:val="14C4B501"/>
    <w:rsid w:val="18CF1569"/>
    <w:rsid w:val="25D0F549"/>
    <w:rsid w:val="2A601E88"/>
    <w:rsid w:val="2CA5CCA5"/>
    <w:rsid w:val="2D0E2E61"/>
    <w:rsid w:val="3792066A"/>
    <w:rsid w:val="3889E194"/>
    <w:rsid w:val="4113AD55"/>
    <w:rsid w:val="47A88536"/>
    <w:rsid w:val="4AA72A7D"/>
    <w:rsid w:val="4AAFF1F1"/>
    <w:rsid w:val="4BF4054B"/>
    <w:rsid w:val="503B3E10"/>
    <w:rsid w:val="58DEFC0C"/>
    <w:rsid w:val="59408AEA"/>
    <w:rsid w:val="5B8D121A"/>
    <w:rsid w:val="5BD6E345"/>
    <w:rsid w:val="5C955AD2"/>
    <w:rsid w:val="60C99AFF"/>
    <w:rsid w:val="61623054"/>
    <w:rsid w:val="634D1E1F"/>
    <w:rsid w:val="66F0D24F"/>
    <w:rsid w:val="6762789B"/>
    <w:rsid w:val="688B6DC5"/>
    <w:rsid w:val="6B1E4D2A"/>
    <w:rsid w:val="70A07D5B"/>
    <w:rsid w:val="7BFCFEFF"/>
    <w:rsid w:val="7C82546A"/>
    <w:rsid w:val="7E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054B"/>
  <w15:chartTrackingRefBased/>
  <w15:docId w15:val="{550C1D93-D110-4D32-8086-280063B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39B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9739B6"/>
    <w:rPr>
      <w:rFonts w:ascii="Arial" w:eastAsia="Times New Roman" w:hAnsi="Arial" w:cs="Times New Roman"/>
      <w:b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39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39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27104-262E-4867-A5F6-CEAFD6018948}">
  <ds:schemaRefs>
    <ds:schemaRef ds:uri="http://purl.org/dc/terms/"/>
    <ds:schemaRef ds:uri="http://schemas.microsoft.com/sharepoint/v3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ecba7b22-95d3-4fb1-a091-0b638237f2d6"/>
    <ds:schemaRef ds:uri="http://schemas.openxmlformats.org/package/2006/metadata/core-properties"/>
    <ds:schemaRef ds:uri="01155ea4-585f-4d5e-8092-2d519e1e5b61"/>
  </ds:schemaRefs>
</ds:datastoreItem>
</file>

<file path=customXml/itemProps2.xml><?xml version="1.0" encoding="utf-8"?>
<ds:datastoreItem xmlns:ds="http://schemas.openxmlformats.org/officeDocument/2006/customXml" ds:itemID="{E800BDF7-922F-4B8C-B312-29E8764FF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A8086-7B24-4348-A66B-9FD7CA41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Augusto Tiago Seixas</dc:creator>
  <cp:keywords/>
  <dc:description/>
  <cp:lastModifiedBy>Maria Nazare Antao Pereira da Silva</cp:lastModifiedBy>
  <cp:revision>4</cp:revision>
  <dcterms:created xsi:type="dcterms:W3CDTF">2019-08-29T13:29:00Z</dcterms:created>
  <dcterms:modified xsi:type="dcterms:W3CDTF">2019-08-29T13:31:00Z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