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D4" w:rsidRPr="005779D4" w:rsidRDefault="005779D4" w:rsidP="005779D4">
      <w:pPr>
        <w:spacing w:after="0" w:line="240" w:lineRule="auto"/>
        <w:rPr>
          <w:rFonts w:ascii="Arial" w:hAnsi="Arial" w:cs="Arial"/>
          <w:b/>
          <w:szCs w:val="24"/>
        </w:rPr>
      </w:pPr>
      <w:r w:rsidRPr="005779D4">
        <w:rPr>
          <w:rFonts w:ascii="Arial" w:hAnsi="Arial" w:cs="Arial"/>
          <w:b/>
          <w:szCs w:val="24"/>
        </w:rPr>
        <w:t>Despacho do Diretor-Geral, de 5-12-2019</w:t>
      </w:r>
    </w:p>
    <w:p w:rsidR="005779D4" w:rsidRDefault="005779D4" w:rsidP="0057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9D4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779D4">
        <w:rPr>
          <w:rFonts w:ascii="Arial" w:hAnsi="Arial" w:cs="Arial"/>
          <w:szCs w:val="24"/>
        </w:rPr>
        <w:t>Processo 402/19 – DG/MP</w:t>
      </w:r>
    </w:p>
    <w:p w:rsidR="005779D4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779D4">
        <w:rPr>
          <w:rFonts w:ascii="Arial" w:hAnsi="Arial" w:cs="Arial"/>
          <w:szCs w:val="24"/>
        </w:rPr>
        <w:t>Interessado: Ministério Público do Estado de São Paulo.</w:t>
      </w:r>
    </w:p>
    <w:p w:rsidR="005779D4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779D4">
        <w:rPr>
          <w:rFonts w:ascii="Arial" w:hAnsi="Arial" w:cs="Arial"/>
          <w:szCs w:val="24"/>
        </w:rPr>
        <w:t>Assunto: Aquisição de materiais de consumo de informática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(mídias de CDR, DVDR e CDRW).</w:t>
      </w:r>
    </w:p>
    <w:p w:rsidR="005779D4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779D4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779D4">
        <w:rPr>
          <w:rFonts w:ascii="Arial" w:hAnsi="Arial" w:cs="Arial"/>
          <w:szCs w:val="24"/>
        </w:rPr>
        <w:t>Ante o exposto, no uso das atribuições que me são conferidas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pelo item 5 da alínea “a” do inciso I do artigo 1º do Ato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223/98 – PGJ, em consonância com os princípios da isonomia, da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vinculação ao instrumento convocatório, da moralidade administrativa,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5779D4">
        <w:rPr>
          <w:rFonts w:ascii="Arial" w:hAnsi="Arial" w:cs="Arial"/>
          <w:szCs w:val="24"/>
        </w:rPr>
        <w:t>da legalidade e da eficiência, CONHEÇO do recurso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interposto pela empresa FUAD BAHDUR NETO 42278750801,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para no mérito NEGAR-LHE provimento, mantendo a decisão do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Senhor Pregoeiro que habilitou as empresas BMAXX COMÉRCIO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E REPRESENTAÇÕES EIRELI, HEOT COMERCIAL E DISTRIBUIÇÃO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DE PEÇAS E ACESSÓRIOS PARA VEÍCULOS LTDA. e RASEK LOGÍSTICA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E SUPRIMENTOS EIRELI, para os itens 1, 2 e 3, respectivamente,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do Pregão Eletrônico 101/2019, em vista do atendimento</w:t>
      </w:r>
      <w:r>
        <w:rPr>
          <w:rFonts w:ascii="Arial" w:hAnsi="Arial" w:cs="Arial"/>
          <w:szCs w:val="24"/>
        </w:rPr>
        <w:t xml:space="preserve"> </w:t>
      </w:r>
      <w:r w:rsidRPr="005779D4">
        <w:rPr>
          <w:rFonts w:ascii="Arial" w:hAnsi="Arial" w:cs="Arial"/>
          <w:szCs w:val="24"/>
        </w:rPr>
        <w:t>às especificações técnicas estabelecidas em edital, bem como</w:t>
      </w:r>
    </w:p>
    <w:p w:rsidR="00E826A8" w:rsidRPr="005779D4" w:rsidRDefault="005779D4" w:rsidP="005779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779D4">
        <w:rPr>
          <w:rFonts w:ascii="Arial" w:hAnsi="Arial" w:cs="Arial"/>
          <w:szCs w:val="24"/>
        </w:rPr>
        <w:t>da inexistência de quaisquer vícios ou ilegalidades no certame.</w:t>
      </w:r>
    </w:p>
    <w:sectPr w:rsidR="00E826A8" w:rsidRPr="00577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D4"/>
    <w:rsid w:val="005779D4"/>
    <w:rsid w:val="00E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9B1"/>
  <w15:chartTrackingRefBased/>
  <w15:docId w15:val="{8C7EACB7-73D8-4343-A42C-BAA7568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2019-12-09T15:39:00Z</dcterms:created>
  <dcterms:modified xsi:type="dcterms:W3CDTF">2019-12-09T15:42:00Z</dcterms:modified>
</cp:coreProperties>
</file>