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DD1" w:rsidRPr="00F06532" w:rsidRDefault="009C5DD1" w:rsidP="00F06532">
      <w:pPr>
        <w:jc w:val="center"/>
        <w:rPr>
          <w:sz w:val="32"/>
          <w:szCs w:val="32"/>
        </w:rPr>
      </w:pPr>
      <w:r w:rsidRPr="009C5DD1">
        <w:rPr>
          <w:sz w:val="32"/>
          <w:szCs w:val="32"/>
        </w:rPr>
        <w:t>RELATÓRIO</w:t>
      </w:r>
      <w:r w:rsidR="00846FB0">
        <w:rPr>
          <w:sz w:val="32"/>
          <w:szCs w:val="32"/>
        </w:rPr>
        <w:t xml:space="preserve"> DO </w:t>
      </w:r>
      <w:r w:rsidR="00625CCB">
        <w:rPr>
          <w:sz w:val="32"/>
          <w:szCs w:val="32"/>
        </w:rPr>
        <w:t>1</w:t>
      </w:r>
      <w:r w:rsidR="007460BE">
        <w:rPr>
          <w:sz w:val="32"/>
          <w:szCs w:val="32"/>
        </w:rPr>
        <w:t>º TRIMESTRE DE 2</w:t>
      </w:r>
      <w:r w:rsidR="00F06532">
        <w:rPr>
          <w:sz w:val="32"/>
          <w:szCs w:val="32"/>
        </w:rPr>
        <w:t>.</w:t>
      </w:r>
      <w:r w:rsidR="00625CCB">
        <w:rPr>
          <w:sz w:val="32"/>
          <w:szCs w:val="32"/>
        </w:rPr>
        <w:t>014</w:t>
      </w:r>
    </w:p>
    <w:p w:rsidR="000C28E4" w:rsidRDefault="000C28E4" w:rsidP="009C5DD1">
      <w:pPr>
        <w:ind w:firstLine="709"/>
        <w:jc w:val="both"/>
      </w:pPr>
    </w:p>
    <w:p w:rsidR="000C28E4" w:rsidRDefault="000C28E4" w:rsidP="009C5DD1">
      <w:pPr>
        <w:ind w:firstLine="709"/>
        <w:jc w:val="both"/>
      </w:pPr>
    </w:p>
    <w:p w:rsidR="000C28E4" w:rsidRDefault="000C28E4" w:rsidP="009C5DD1">
      <w:pPr>
        <w:ind w:firstLine="709"/>
        <w:jc w:val="both"/>
      </w:pPr>
    </w:p>
    <w:p w:rsidR="0001676A" w:rsidRDefault="0001676A" w:rsidP="009C5DD1">
      <w:pPr>
        <w:ind w:firstLine="709"/>
        <w:jc w:val="both"/>
      </w:pPr>
    </w:p>
    <w:p w:rsidR="009C5DD1" w:rsidRDefault="009C5DD1" w:rsidP="009C5DD1">
      <w:pPr>
        <w:ind w:firstLine="709"/>
        <w:jc w:val="both"/>
      </w:pPr>
      <w:r w:rsidRPr="00E65AFD">
        <w:t>Em cumprimento ao disposto no artigo 2º, inciso VII, da Lei Complementar n</w:t>
      </w:r>
      <w:r w:rsidR="002C4B10" w:rsidRPr="00E65AFD">
        <w:t>º 1.127,</w:t>
      </w:r>
      <w:r w:rsidR="002C4B10">
        <w:t xml:space="preserve"> </w:t>
      </w:r>
      <w:r w:rsidR="002C4B10" w:rsidRPr="00E65AFD">
        <w:t>de 29 de novembro de 2</w:t>
      </w:r>
      <w:r w:rsidR="00F06532" w:rsidRPr="00E65AFD">
        <w:t>.</w:t>
      </w:r>
      <w:r w:rsidRPr="00E65AFD">
        <w:t>010, apresentamos o relatório rela</w:t>
      </w:r>
      <w:r w:rsidR="002C4B10" w:rsidRPr="00E65AFD">
        <w:t xml:space="preserve">tivo ao </w:t>
      </w:r>
      <w:r w:rsidR="00E65AFD" w:rsidRPr="00E65AFD">
        <w:t>primeiro</w:t>
      </w:r>
      <w:r w:rsidR="002C4B10" w:rsidRPr="00E65AFD">
        <w:t xml:space="preserve"> trimestre de 2</w:t>
      </w:r>
      <w:r w:rsidR="00F06532" w:rsidRPr="00E65AFD">
        <w:t>.</w:t>
      </w:r>
      <w:r w:rsidRPr="00E65AFD">
        <w:t>01</w:t>
      </w:r>
      <w:r w:rsidR="00E65AFD" w:rsidRPr="00E65AFD">
        <w:t>4</w:t>
      </w:r>
      <w:r w:rsidRPr="00E65AFD">
        <w:t>.</w:t>
      </w:r>
    </w:p>
    <w:p w:rsidR="00E8005C" w:rsidRDefault="00E8005C" w:rsidP="00BF60F2">
      <w:pPr>
        <w:ind w:firstLine="709"/>
        <w:jc w:val="both"/>
      </w:pPr>
      <w:r>
        <w:t>No dia 04 de fevereiro de 2.014 participamos da Reunião Conjunta do Conselho Nacional dos Ouvidores do Ministério Público (CNOMP) com o Conselho Nacional dos Procuradores-Gerais (CNPG), realizada em Brasília, na sede do Ministério Público do Distrito Federal e Territórios.</w:t>
      </w:r>
    </w:p>
    <w:p w:rsidR="002877E2" w:rsidRDefault="00E8005C" w:rsidP="00BF60F2">
      <w:pPr>
        <w:ind w:firstLine="709"/>
        <w:jc w:val="both"/>
      </w:pPr>
      <w:r>
        <w:t>Já n</w:t>
      </w:r>
      <w:r w:rsidR="00E43633">
        <w:t>os dias 2</w:t>
      </w:r>
      <w:r>
        <w:t>7</w:t>
      </w:r>
      <w:r w:rsidR="00E43633">
        <w:t xml:space="preserve"> e </w:t>
      </w:r>
      <w:r>
        <w:t>28</w:t>
      </w:r>
      <w:r w:rsidR="00E43633">
        <w:t xml:space="preserve"> de </w:t>
      </w:r>
      <w:r>
        <w:t>março</w:t>
      </w:r>
      <w:r w:rsidR="00E43633">
        <w:t xml:space="preserve"> de 2.01</w:t>
      </w:r>
      <w:r>
        <w:t>4</w:t>
      </w:r>
      <w:r w:rsidR="00E43633">
        <w:t xml:space="preserve">, participamos </w:t>
      </w:r>
      <w:r w:rsidR="00BF60F2">
        <w:t xml:space="preserve">da </w:t>
      </w:r>
      <w:r>
        <w:t>20</w:t>
      </w:r>
      <w:r w:rsidR="00DF73EC">
        <w:t>ª</w:t>
      </w:r>
      <w:r w:rsidR="00BF60F2">
        <w:t xml:space="preserve"> Reunião Ordinária do Conselho Nacional dos Ouvidores do Ministério Público (CNOMP), realizada </w:t>
      </w:r>
      <w:r w:rsidR="003D0737">
        <w:t xml:space="preserve">em </w:t>
      </w:r>
      <w:r>
        <w:t>Ouro Preto</w:t>
      </w:r>
      <w:r w:rsidR="00BF60F2">
        <w:t xml:space="preserve">, Estado </w:t>
      </w:r>
      <w:r>
        <w:t>de Minas Gerais</w:t>
      </w:r>
      <w:r w:rsidR="00BF60F2">
        <w:t>.</w:t>
      </w:r>
      <w:r w:rsidR="00BC1F54">
        <w:t xml:space="preserve"> </w:t>
      </w:r>
      <w:r>
        <w:t>Durante essa reunião, foi renovada a diretoria do CNOMP, ocasião em que fomos eleitos pela terceira vez como Diretor Financeiro</w:t>
      </w:r>
      <w:r w:rsidR="00BC1F54">
        <w:t>.</w:t>
      </w:r>
    </w:p>
    <w:p w:rsidR="002912D1" w:rsidRDefault="002912D1" w:rsidP="00BF60F2">
      <w:pPr>
        <w:ind w:firstLine="709"/>
        <w:jc w:val="both"/>
      </w:pPr>
      <w:r>
        <w:t>A diretoria eleita foi empossada no dia 28, em sessão solene que contou com a presença do Procurador-Geral de Justiça do Estado de Minas Gerais, do Corregedor-Geral, de inúmeros membros do parquet mineiro, além do Prefeito Municipal e da Juíza de Direito de Ouro Preto. A reunião foi realiza</w:t>
      </w:r>
      <w:r w:rsidR="00840969">
        <w:t>da nessa cidade em comemoração a</w:t>
      </w:r>
      <w:r>
        <w:t>o aniversário de fundação do CNOMP, que ocorreu em Ouro Preto.</w:t>
      </w:r>
    </w:p>
    <w:p w:rsidR="002912D1" w:rsidRDefault="002912D1" w:rsidP="00BF60F2">
      <w:pPr>
        <w:ind w:firstLine="709"/>
        <w:jc w:val="both"/>
      </w:pPr>
      <w:r>
        <w:t>A diretoria empossada para o período de 2.014 – 2.015 é assim constituída: Presidente, Ruth Lies Scholte Carvalho, Ouvidora do MP de Minas Gerais; Vice-presidente,</w:t>
      </w:r>
      <w:r w:rsidR="00271616">
        <w:t xml:space="preserve"> José Maria Gomes dos Santos, Ouvidor do MP do Pará; Diretor Secretário, </w:t>
      </w:r>
      <w:r w:rsidR="00330636">
        <w:t>José Carlos de Oliveira Filho</w:t>
      </w:r>
      <w:r w:rsidR="00271616">
        <w:t>, Ouvidor do MP de Sergipe; e Diretor Financeiro, Fernando José Marques, Ouvidor do MP de São Paulo.</w:t>
      </w:r>
    </w:p>
    <w:p w:rsidR="000B32AB" w:rsidRDefault="00822256" w:rsidP="00581447">
      <w:pPr>
        <w:ind w:firstLine="709"/>
        <w:jc w:val="both"/>
      </w:pPr>
      <w:r>
        <w:t xml:space="preserve">Conforme dados extraídos do módulo da Ouvidoria no SIS – MP Integrado, as </w:t>
      </w:r>
      <w:r w:rsidR="00B161A3">
        <w:t xml:space="preserve">manifestações dirigidas à Ouvidoria, </w:t>
      </w:r>
      <w:r w:rsidR="00FE08C9">
        <w:t xml:space="preserve">no </w:t>
      </w:r>
      <w:r w:rsidR="00330636">
        <w:t>primeiro</w:t>
      </w:r>
      <w:r w:rsidR="00593298">
        <w:t xml:space="preserve"> trimestre de 2</w:t>
      </w:r>
      <w:r w:rsidR="00030594">
        <w:t>.</w:t>
      </w:r>
      <w:r w:rsidR="00593298">
        <w:t>01</w:t>
      </w:r>
      <w:r w:rsidR="00330636">
        <w:t>4</w:t>
      </w:r>
      <w:r w:rsidR="00B161A3">
        <w:t xml:space="preserve">, </w:t>
      </w:r>
      <w:r w:rsidR="005F1283">
        <w:t>voltaram a crescer</w:t>
      </w:r>
      <w:r w:rsidR="00B161A3">
        <w:t>.</w:t>
      </w:r>
    </w:p>
    <w:p w:rsidR="00581447" w:rsidRDefault="00B161A3" w:rsidP="00581447">
      <w:pPr>
        <w:ind w:firstLine="709"/>
        <w:jc w:val="both"/>
      </w:pPr>
      <w:r>
        <w:t xml:space="preserve">No mês de </w:t>
      </w:r>
      <w:r w:rsidR="005F1283">
        <w:t>janeiro</w:t>
      </w:r>
      <w:r w:rsidR="00C41597">
        <w:t xml:space="preserve"> </w:t>
      </w:r>
      <w:r>
        <w:t xml:space="preserve">foram </w:t>
      </w:r>
      <w:r w:rsidR="00030594">
        <w:t>1.</w:t>
      </w:r>
      <w:r w:rsidR="005F1283">
        <w:t>63</w:t>
      </w:r>
      <w:r w:rsidR="000B32AB">
        <w:t>4</w:t>
      </w:r>
      <w:r>
        <w:t xml:space="preserve"> (</w:t>
      </w:r>
      <w:r w:rsidR="00030594">
        <w:t>mil</w:t>
      </w:r>
      <w:r w:rsidR="00FE04CB">
        <w:t xml:space="preserve">, </w:t>
      </w:r>
      <w:r w:rsidR="005F1283">
        <w:t>seiscentas</w:t>
      </w:r>
      <w:r w:rsidR="000B32AB">
        <w:t xml:space="preserve"> e </w:t>
      </w:r>
      <w:r w:rsidR="005F1283">
        <w:t>trinta</w:t>
      </w:r>
      <w:r w:rsidR="000B32AB">
        <w:t xml:space="preserve"> e quatro</w:t>
      </w:r>
      <w:r>
        <w:t xml:space="preserve">), em </w:t>
      </w:r>
      <w:r w:rsidR="005F1283">
        <w:t>fevereiro</w:t>
      </w:r>
      <w:r>
        <w:t xml:space="preserve"> 1</w:t>
      </w:r>
      <w:r w:rsidR="00820723">
        <w:t>.</w:t>
      </w:r>
      <w:r w:rsidR="005F1283">
        <w:t>552</w:t>
      </w:r>
      <w:r>
        <w:t xml:space="preserve"> (mil</w:t>
      </w:r>
      <w:r w:rsidR="00822256">
        <w:t xml:space="preserve">, </w:t>
      </w:r>
      <w:r w:rsidR="005F1283">
        <w:t>quinhentas e cinquenta e duas</w:t>
      </w:r>
      <w:r>
        <w:t xml:space="preserve">) e em </w:t>
      </w:r>
      <w:r w:rsidR="005F1283">
        <w:t>março</w:t>
      </w:r>
      <w:r>
        <w:t xml:space="preserve"> 1</w:t>
      </w:r>
      <w:r w:rsidR="000B32AB">
        <w:t>.</w:t>
      </w:r>
      <w:r w:rsidR="004947AE">
        <w:t>2</w:t>
      </w:r>
      <w:r w:rsidR="005F1283">
        <w:t>93</w:t>
      </w:r>
      <w:r>
        <w:t xml:space="preserve"> (mil</w:t>
      </w:r>
      <w:r w:rsidR="00B376FB">
        <w:t xml:space="preserve"> e </w:t>
      </w:r>
      <w:r w:rsidR="00726D8E">
        <w:t>duzentas e noventa e três</w:t>
      </w:r>
      <w:r>
        <w:t xml:space="preserve">), resultando em </w:t>
      </w:r>
      <w:r w:rsidR="00D22054">
        <w:t>4.479</w:t>
      </w:r>
      <w:r>
        <w:t xml:space="preserve"> (</w:t>
      </w:r>
      <w:r w:rsidR="00D22054">
        <w:t>quatro</w:t>
      </w:r>
      <w:r w:rsidR="00B376FB">
        <w:t xml:space="preserve"> mil, </w:t>
      </w:r>
      <w:r w:rsidR="00D22054">
        <w:t>quatrocentas e setenta e nove</w:t>
      </w:r>
      <w:r>
        <w:t xml:space="preserve">) manifestações no </w:t>
      </w:r>
      <w:r w:rsidR="00D22054">
        <w:t>1</w:t>
      </w:r>
      <w:r>
        <w:t>º trimestre de</w:t>
      </w:r>
      <w:r w:rsidR="00593298">
        <w:t xml:space="preserve"> 2</w:t>
      </w:r>
      <w:r w:rsidR="00030594">
        <w:t>.</w:t>
      </w:r>
      <w:r w:rsidR="00593298">
        <w:t>01</w:t>
      </w:r>
      <w:r w:rsidR="00D22054">
        <w:t>4</w:t>
      </w:r>
      <w:r>
        <w:t>.</w:t>
      </w:r>
      <w:r w:rsidR="007B433F">
        <w:t xml:space="preserve"> </w:t>
      </w:r>
      <w:r w:rsidR="00581447">
        <w:t xml:space="preserve">Esse número representa um </w:t>
      </w:r>
      <w:r w:rsidR="00D22054">
        <w:t>crescimento</w:t>
      </w:r>
      <w:r w:rsidR="008B0847">
        <w:t xml:space="preserve"> de </w:t>
      </w:r>
      <w:r w:rsidR="004947AE">
        <w:t>1</w:t>
      </w:r>
      <w:r w:rsidR="00D22054">
        <w:t>5,97</w:t>
      </w:r>
      <w:r w:rsidR="00581447">
        <w:t>% em relação ao trimestre an</w:t>
      </w:r>
      <w:r w:rsidR="00664B87">
        <w:t>terior</w:t>
      </w:r>
      <w:r w:rsidR="004947AE">
        <w:t xml:space="preserve">, </w:t>
      </w:r>
      <w:r w:rsidR="00D22054">
        <w:t>bem como</w:t>
      </w:r>
      <w:r w:rsidR="004947AE">
        <w:t xml:space="preserve"> um </w:t>
      </w:r>
      <w:r w:rsidR="00D22054">
        <w:t>crescimento</w:t>
      </w:r>
      <w:r w:rsidR="00630957">
        <w:t xml:space="preserve"> </w:t>
      </w:r>
      <w:r w:rsidR="00664B87">
        <w:t xml:space="preserve">de </w:t>
      </w:r>
      <w:r w:rsidR="00D22054">
        <w:t>1</w:t>
      </w:r>
      <w:r w:rsidR="004947AE">
        <w:t>9,</w:t>
      </w:r>
      <w:r w:rsidR="00D22054">
        <w:t>15</w:t>
      </w:r>
      <w:r w:rsidR="00581447">
        <w:t xml:space="preserve">% em relação </w:t>
      </w:r>
      <w:r w:rsidR="00D22054">
        <w:t>ao mesmo período do ano de 2.013</w:t>
      </w:r>
      <w:r w:rsidR="00581447">
        <w:t>.</w:t>
      </w:r>
    </w:p>
    <w:p w:rsidR="00581447" w:rsidRDefault="00581447" w:rsidP="00581447">
      <w:pPr>
        <w:ind w:firstLine="709"/>
        <w:jc w:val="both"/>
      </w:pPr>
      <w:r>
        <w:t>Procuraram a Ouvidoria quer pessoalmente quer por telefone, sendo orientadas a r</w:t>
      </w:r>
      <w:r w:rsidR="008B0847">
        <w:t>espeito de suas preocupações</w:t>
      </w:r>
      <w:r w:rsidR="00D22054">
        <w:t xml:space="preserve"> 841</w:t>
      </w:r>
      <w:r w:rsidR="008B0847">
        <w:t xml:space="preserve"> </w:t>
      </w:r>
      <w:r>
        <w:t>(</w:t>
      </w:r>
      <w:r w:rsidR="00D22054">
        <w:t>oitocentas e quarenta e uma</w:t>
      </w:r>
      <w:r>
        <w:t xml:space="preserve">) pessoas, sendo </w:t>
      </w:r>
      <w:r w:rsidR="00D22054">
        <w:t>824</w:t>
      </w:r>
      <w:r>
        <w:t xml:space="preserve"> (</w:t>
      </w:r>
      <w:r w:rsidR="00D22054">
        <w:t>oitocentas e vinte e quatro</w:t>
      </w:r>
      <w:r>
        <w:t xml:space="preserve">) por telefone e </w:t>
      </w:r>
      <w:r w:rsidR="00D22054">
        <w:t>17</w:t>
      </w:r>
      <w:r w:rsidR="004947AE">
        <w:t xml:space="preserve"> </w:t>
      </w:r>
      <w:r>
        <w:t>(</w:t>
      </w:r>
      <w:r w:rsidR="00D22054">
        <w:t>dezessete</w:t>
      </w:r>
      <w:r>
        <w:t>) pessoalmente.</w:t>
      </w:r>
    </w:p>
    <w:p w:rsidR="00581447" w:rsidRDefault="00581447" w:rsidP="00581447">
      <w:pPr>
        <w:ind w:firstLine="709"/>
        <w:jc w:val="both"/>
      </w:pPr>
      <w:r>
        <w:lastRenderedPageBreak/>
        <w:t>As demais manifestaçõe</w:t>
      </w:r>
      <w:r w:rsidR="003E49B1">
        <w:t xml:space="preserve">s estão assim distribuídas: </w:t>
      </w:r>
      <w:r w:rsidR="00D51AAE">
        <w:t>3.</w:t>
      </w:r>
      <w:r w:rsidR="00641E58">
        <w:t>573</w:t>
      </w:r>
      <w:r>
        <w:t xml:space="preserve"> (</w:t>
      </w:r>
      <w:r w:rsidR="00860F42">
        <w:t>três</w:t>
      </w:r>
      <w:r>
        <w:t xml:space="preserve"> mil, </w:t>
      </w:r>
      <w:r w:rsidR="00641E58">
        <w:t>quinhentas e setenta e três</w:t>
      </w:r>
      <w:r>
        <w:t>) me</w:t>
      </w:r>
      <w:r w:rsidR="003E49B1">
        <w:t xml:space="preserve">nsagens por meio eletrônico e </w:t>
      </w:r>
      <w:r w:rsidR="00641E58">
        <w:t>6</w:t>
      </w:r>
      <w:r w:rsidR="00D51AAE">
        <w:t>5</w:t>
      </w:r>
      <w:r>
        <w:t xml:space="preserve"> (</w:t>
      </w:r>
      <w:r w:rsidR="00641E58">
        <w:t>sessenta e cinco</w:t>
      </w:r>
      <w:r>
        <w:t>) por carta.</w:t>
      </w:r>
    </w:p>
    <w:p w:rsidR="00D51AAE" w:rsidRDefault="00D51AAE" w:rsidP="00581447">
      <w:pPr>
        <w:ind w:firstLine="709"/>
        <w:jc w:val="both"/>
      </w:pPr>
      <w:r>
        <w:t xml:space="preserve">Anote-se que </w:t>
      </w:r>
      <w:r w:rsidR="00641E58">
        <w:t>1.153</w:t>
      </w:r>
      <w:r>
        <w:t xml:space="preserve"> (</w:t>
      </w:r>
      <w:r w:rsidR="00641E58">
        <w:t>mil, cento e cinquenta e três</w:t>
      </w:r>
      <w:r>
        <w:t>) manifestações foram feitas de forma anônima.</w:t>
      </w:r>
    </w:p>
    <w:p w:rsidR="00581447" w:rsidRDefault="00581447" w:rsidP="00581447">
      <w:pPr>
        <w:ind w:firstLine="709"/>
        <w:jc w:val="both"/>
      </w:pPr>
      <w:r>
        <w:t xml:space="preserve">As manifestações foram classificadas da seguinte forma: </w:t>
      </w:r>
    </w:p>
    <w:p w:rsidR="008340B6" w:rsidRDefault="008340B6" w:rsidP="000C12FA">
      <w:pPr>
        <w:jc w:val="both"/>
      </w:pPr>
    </w:p>
    <w:tbl>
      <w:tblPr>
        <w:tblStyle w:val="SombreamentoClaro-nfase1"/>
        <w:tblW w:w="8200" w:type="dxa"/>
        <w:tblLook w:val="04A0"/>
      </w:tblPr>
      <w:tblGrid>
        <w:gridCol w:w="7436"/>
        <w:gridCol w:w="764"/>
      </w:tblGrid>
      <w:tr w:rsidR="00581447" w:rsidRPr="00943512" w:rsidTr="008E0D35">
        <w:trPr>
          <w:cnfStyle w:val="1000000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64" w:type="dxa"/>
            <w:noWrap/>
            <w:hideMark/>
          </w:tcPr>
          <w:p w:rsidR="00581447" w:rsidRDefault="00581447" w:rsidP="008E0D35">
            <w:pPr>
              <w:spacing w:after="0" w:line="240" w:lineRule="auto"/>
              <w:jc w:val="center"/>
              <w:cnfStyle w:val="1000000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Apreciações e comentários</w:t>
            </w:r>
          </w:p>
        </w:tc>
        <w:tc>
          <w:tcPr>
            <w:tcW w:w="764" w:type="dxa"/>
            <w:noWrap/>
            <w:vAlign w:val="bottom"/>
            <w:hideMark/>
          </w:tcPr>
          <w:p w:rsidR="00581447" w:rsidRPr="00605CBC" w:rsidRDefault="000C12FA" w:rsidP="00DD02BF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82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200" w:type="dxa"/>
            <w:gridSpan w:val="2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Pr="00605CBC" w:rsidRDefault="00581447" w:rsidP="00D51AA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Críticas </w:t>
            </w:r>
            <w:r w:rsidR="006C0BEF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 elogios</w:t>
            </w:r>
          </w:p>
        </w:tc>
        <w:tc>
          <w:tcPr>
            <w:tcW w:w="764" w:type="dxa"/>
            <w:noWrap/>
            <w:vAlign w:val="bottom"/>
            <w:hideMark/>
          </w:tcPr>
          <w:p w:rsidR="00581447" w:rsidRPr="00605CBC" w:rsidRDefault="000C12FA" w:rsidP="008E0D35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29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200" w:type="dxa"/>
            <w:gridSpan w:val="2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Denúncias</w:t>
            </w:r>
          </w:p>
        </w:tc>
        <w:tc>
          <w:tcPr>
            <w:tcW w:w="764" w:type="dxa"/>
            <w:noWrap/>
            <w:vAlign w:val="bottom"/>
            <w:hideMark/>
          </w:tcPr>
          <w:p w:rsidR="00581447" w:rsidRPr="00605CBC" w:rsidRDefault="001F19F3" w:rsidP="00D51AAE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1.1</w:t>
            </w:r>
            <w:r w:rsidR="000C12F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45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200" w:type="dxa"/>
            <w:gridSpan w:val="2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Pedido</w:t>
            </w:r>
            <w:r w:rsidR="006C0BEF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s de informação</w:t>
            </w:r>
          </w:p>
        </w:tc>
        <w:tc>
          <w:tcPr>
            <w:tcW w:w="764" w:type="dxa"/>
            <w:noWrap/>
            <w:vAlign w:val="bottom"/>
            <w:hideMark/>
          </w:tcPr>
          <w:p w:rsidR="00581447" w:rsidRPr="00605CBC" w:rsidRDefault="000C12FA" w:rsidP="008E0D35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1.552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200" w:type="dxa"/>
            <w:gridSpan w:val="2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Reclamações</w:t>
            </w:r>
          </w:p>
        </w:tc>
        <w:tc>
          <w:tcPr>
            <w:tcW w:w="764" w:type="dxa"/>
            <w:noWrap/>
            <w:vAlign w:val="bottom"/>
            <w:hideMark/>
          </w:tcPr>
          <w:p w:rsidR="00581447" w:rsidRPr="00605CBC" w:rsidRDefault="003E49B1" w:rsidP="00DD02BF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1.</w:t>
            </w:r>
            <w:r w:rsidR="000C12F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347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200" w:type="dxa"/>
            <w:gridSpan w:val="2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Sugestões</w:t>
            </w:r>
          </w:p>
        </w:tc>
        <w:tc>
          <w:tcPr>
            <w:tcW w:w="764" w:type="dxa"/>
            <w:noWrap/>
            <w:vAlign w:val="bottom"/>
            <w:hideMark/>
          </w:tcPr>
          <w:p w:rsidR="00581447" w:rsidRPr="00605CBC" w:rsidRDefault="00DD02BF" w:rsidP="00DD02B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</w:t>
            </w:r>
            <w:r w:rsidR="000C12F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19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200" w:type="dxa"/>
            <w:gridSpan w:val="2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Diversos</w:t>
            </w:r>
          </w:p>
        </w:tc>
        <w:tc>
          <w:tcPr>
            <w:tcW w:w="764" w:type="dxa"/>
            <w:noWrap/>
            <w:vAlign w:val="bottom"/>
            <w:hideMark/>
          </w:tcPr>
          <w:p w:rsidR="00581447" w:rsidRPr="00605CBC" w:rsidRDefault="000C12FA" w:rsidP="00DD02B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305</w:t>
            </w:r>
          </w:p>
        </w:tc>
      </w:tr>
    </w:tbl>
    <w:p w:rsidR="00581447" w:rsidRDefault="00581447" w:rsidP="00581447">
      <w:pPr>
        <w:jc w:val="both"/>
      </w:pPr>
    </w:p>
    <w:p w:rsidR="00581447" w:rsidRDefault="00581447" w:rsidP="00581447">
      <w:pPr>
        <w:ind w:firstLine="709"/>
        <w:jc w:val="both"/>
      </w:pPr>
      <w:r>
        <w:t>As providências tomadas em relação às manifestações recebidas pela Ouvidoria estão relacionadas no quadro a seguir.</w:t>
      </w:r>
    </w:p>
    <w:p w:rsidR="00581447" w:rsidRDefault="00581447" w:rsidP="00581447">
      <w:pPr>
        <w:ind w:firstLine="709"/>
        <w:jc w:val="both"/>
      </w:pPr>
    </w:p>
    <w:tbl>
      <w:tblPr>
        <w:tblStyle w:val="SombreamentoClaro-nfase1"/>
        <w:tblW w:w="8124" w:type="dxa"/>
        <w:tblLook w:val="04A0"/>
      </w:tblPr>
      <w:tblGrid>
        <w:gridCol w:w="7436"/>
        <w:gridCol w:w="764"/>
      </w:tblGrid>
      <w:tr w:rsidR="00581447" w:rsidRPr="00943512" w:rsidTr="008E0D35">
        <w:trPr>
          <w:cnfStyle w:val="100000000000"/>
          <w:trHeight w:val="402"/>
        </w:trPr>
        <w:tc>
          <w:tcPr>
            <w:cnfStyle w:val="001000000000"/>
            <w:tcW w:w="8124" w:type="dxa"/>
            <w:gridSpan w:val="2"/>
            <w:vMerge w:val="restart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PROVIDÊNCIAS 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8124" w:type="dxa"/>
            <w:gridSpan w:val="2"/>
            <w:vMerge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</w:pPr>
          </w:p>
        </w:tc>
      </w:tr>
      <w:tr w:rsidR="00581447" w:rsidRPr="00943512" w:rsidTr="008E0D35">
        <w:trPr>
          <w:trHeight w:val="300"/>
        </w:trPr>
        <w:tc>
          <w:tcPr>
            <w:cnfStyle w:val="001000000000"/>
            <w:tcW w:w="8124" w:type="dxa"/>
            <w:gridSpan w:val="2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Encaminhamento à Promotoria de Justiça da região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0C12FA" w:rsidP="00761F22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1.112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Encaminhamento ao CAO Cível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367EC3" w:rsidP="00DD02BF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0C12F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18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Encaminhamento ao CAO Criminal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0C12FA" w:rsidP="00DD02BF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99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AD4639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Encaminhamento a Grupos Especiais (GAECO/GEDUC/GAEMA</w:t>
            </w:r>
            <w:r w:rsidR="00761F22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/GECAP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/GECEP)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0C12FA" w:rsidP="00A21B52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102</w:t>
            </w:r>
          </w:p>
        </w:tc>
      </w:tr>
      <w:tr w:rsidR="00581447" w:rsidRPr="00AD4639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AD4639" w:rsidTr="008E0D35">
        <w:trPr>
          <w:cnfStyle w:val="000000100000"/>
          <w:trHeight w:val="403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A21B5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lastRenderedPageBreak/>
              <w:t xml:space="preserve">Encaminhamento às </w:t>
            </w:r>
            <w:r w:rsidR="00AD203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Procuradorias/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Subprocuradorias/CSMP</w:t>
            </w:r>
            <w:r w:rsidR="00AD203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/G-PGJ           </w:t>
            </w:r>
            <w:r w:rsidR="00A21B52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  </w:t>
            </w:r>
            <w:r w:rsidR="007F36C4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5</w:t>
            </w:r>
            <w:r w:rsidR="00A21B52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AD203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  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                                            </w:t>
            </w:r>
            <w:r w:rsidR="00AD203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  </w:t>
            </w:r>
          </w:p>
        </w:tc>
      </w:tr>
      <w:tr w:rsidR="00581447" w:rsidRPr="00AD4639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Encaminhamento à </w:t>
            </w: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Corregedoria 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–</w:t>
            </w: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MPSP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           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581447" w:rsidP="00A21B52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</w:t>
            </w:r>
            <w:r w:rsidR="007F36C4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13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Encaminhamento à DG/CRH/CEAF-ESMP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7F36C4" w:rsidP="00AD203A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55</w:t>
            </w:r>
            <w:r w:rsidR="0058144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Encaminhamento 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a órgãos externos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581447" w:rsidP="00AD203A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</w:t>
            </w:r>
            <w:r w:rsidR="007F36C4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Orientação e/ou esclarecimentos ao 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manifestante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367EC3" w:rsidP="009F1EE4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2.</w:t>
            </w:r>
            <w:r w:rsidR="007F36C4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717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Arquivados por falta de elementos para seguimento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367EC3" w:rsidP="00AD203A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r w:rsidR="007F36C4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482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AD203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Denúncias anônimas 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7F36C4" w:rsidP="009F1EE4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1.153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AD203A" w:rsidP="00AD203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Fichas</w:t>
            </w:r>
            <w:r w:rsidR="0058144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encerrad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a</w:t>
            </w:r>
            <w:r w:rsidR="0058144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s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E65AFD" w:rsidP="008E0D35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4.479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AD203A" w:rsidP="00AD5F1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Ficha</w:t>
            </w:r>
            <w:r w:rsidR="0058144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s </w:t>
            </w:r>
            <w:r w:rsidR="00AD5F13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com pendências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7F36C4" w:rsidP="00E65AFD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E65AFD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0</w:t>
            </w:r>
            <w:r w:rsidR="0058144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581447" w:rsidRDefault="00581447" w:rsidP="00581447">
      <w:pPr>
        <w:ind w:firstLine="709"/>
        <w:jc w:val="both"/>
      </w:pPr>
    </w:p>
    <w:p w:rsidR="008340B6" w:rsidRDefault="008340B6" w:rsidP="00581447">
      <w:pPr>
        <w:jc w:val="both"/>
      </w:pPr>
    </w:p>
    <w:p w:rsidR="00581447" w:rsidRDefault="00581447" w:rsidP="00581447">
      <w:pPr>
        <w:ind w:firstLine="709"/>
        <w:jc w:val="both"/>
      </w:pPr>
      <w:r>
        <w:t>Com relação às manifestações enviadas à Ouvidoria, podemos representá-las em dois gráficos distintos: o primeiro a respeito do tipo de manifestação recebida e o outro referente à forma como a sociedade entra em contato com a Ouvidoria.</w:t>
      </w:r>
    </w:p>
    <w:p w:rsidR="00FC13DA" w:rsidRDefault="00FC13DA" w:rsidP="00581447">
      <w:pPr>
        <w:ind w:firstLine="709"/>
        <w:jc w:val="both"/>
      </w:pPr>
    </w:p>
    <w:p w:rsidR="00581447" w:rsidRDefault="007F36C4" w:rsidP="00FC13DA">
      <w:pPr>
        <w:jc w:val="both"/>
      </w:pPr>
      <w:r>
        <w:rPr>
          <w:noProof/>
          <w:lang w:eastAsia="pt-BR"/>
        </w:rPr>
        <w:drawing>
          <wp:inline distT="0" distB="0" distL="0" distR="0">
            <wp:extent cx="5400040" cy="3150235"/>
            <wp:effectExtent l="0" t="0" r="10160" b="1206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81447" w:rsidRDefault="00DE0EB5" w:rsidP="00581447">
      <w:pPr>
        <w:spacing w:after="0" w:line="240" w:lineRule="auto"/>
      </w:pPr>
      <w:r>
        <w:rPr>
          <w:noProof/>
          <w:color w:val="7030A0"/>
          <w:lang w:eastAsia="pt-BR"/>
        </w:rPr>
        <w:lastRenderedPageBreak/>
        <w:drawing>
          <wp:inline distT="0" distB="0" distL="0" distR="0">
            <wp:extent cx="5400040" cy="3150235"/>
            <wp:effectExtent l="0" t="0" r="10160" b="1206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81447" w:rsidRDefault="00581447" w:rsidP="00581447">
      <w:pPr>
        <w:jc w:val="both"/>
      </w:pPr>
    </w:p>
    <w:p w:rsidR="00C37874" w:rsidRDefault="00C37874" w:rsidP="00581447">
      <w:pPr>
        <w:ind w:firstLine="709"/>
        <w:jc w:val="both"/>
      </w:pPr>
    </w:p>
    <w:p w:rsidR="00581447" w:rsidRDefault="00581447" w:rsidP="00581447">
      <w:pPr>
        <w:ind w:firstLine="709"/>
        <w:jc w:val="both"/>
      </w:pPr>
      <w:r>
        <w:t xml:space="preserve">Desde a instalação da Ouvidoria em março de 2.011 até </w:t>
      </w:r>
      <w:r w:rsidR="00111CC1">
        <w:t>os dias de hoje,</w:t>
      </w:r>
      <w:r>
        <w:t xml:space="preserve"> o número de contatos com a Ouvidoria só tem crescido. O gráfico seguinte demonstra a evolução, mês a mês, da quantidade de manifestações recebidas.</w:t>
      </w:r>
    </w:p>
    <w:p w:rsidR="00C37874" w:rsidRDefault="00C37874" w:rsidP="00581447">
      <w:pPr>
        <w:ind w:firstLine="709"/>
        <w:jc w:val="both"/>
      </w:pPr>
    </w:p>
    <w:p w:rsidR="00C37874" w:rsidRDefault="00C37874" w:rsidP="00581447">
      <w:pPr>
        <w:ind w:firstLine="709"/>
        <w:jc w:val="both"/>
      </w:pPr>
    </w:p>
    <w:p w:rsidR="00581447" w:rsidRDefault="009B6F54" w:rsidP="00581447">
      <w:pPr>
        <w:jc w:val="both"/>
      </w:pPr>
      <w:r>
        <w:rPr>
          <w:i/>
          <w:noProof/>
          <w:lang w:eastAsia="pt-BR"/>
        </w:rPr>
        <w:drawing>
          <wp:inline distT="0" distB="0" distL="0" distR="0">
            <wp:extent cx="5400040" cy="3150235"/>
            <wp:effectExtent l="0" t="0" r="10160" b="12065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81447" w:rsidRDefault="00581447" w:rsidP="00581447">
      <w:pPr>
        <w:ind w:firstLine="709"/>
        <w:jc w:val="both"/>
      </w:pPr>
    </w:p>
    <w:p w:rsidR="005D04C5" w:rsidRDefault="005D04C5" w:rsidP="00581447">
      <w:pPr>
        <w:ind w:firstLine="709"/>
        <w:jc w:val="both"/>
      </w:pPr>
      <w:r>
        <w:lastRenderedPageBreak/>
        <w:t xml:space="preserve">É importante salientar-se – como está demonstrado pelos gráficos acima – que </w:t>
      </w:r>
      <w:r w:rsidR="00C37874">
        <w:t>a</w:t>
      </w:r>
      <w:r w:rsidR="00581447">
        <w:t xml:space="preserve"> Ouvidoria consolidou-se como importante intermediadora entre a sociedade e os diversos setores do Ministério Público.</w:t>
      </w:r>
    </w:p>
    <w:p w:rsidR="00C37874" w:rsidRDefault="005D04C5" w:rsidP="00581447">
      <w:pPr>
        <w:ind w:firstLine="709"/>
        <w:jc w:val="both"/>
      </w:pPr>
      <w:r>
        <w:t>O número de contatos da população com a Ouvidoria vem aumentando constantemente, devendo ser enfatizado que não tem sido feita qualquer divulgação a respeito para o público em geral, como preconizado pelo Conselho Nacional do Ministério Público – CNMP.</w:t>
      </w:r>
    </w:p>
    <w:p w:rsidR="00263BF7" w:rsidRDefault="00263BF7" w:rsidP="00581447">
      <w:pPr>
        <w:ind w:firstLine="709"/>
        <w:jc w:val="both"/>
      </w:pPr>
      <w:r>
        <w:t xml:space="preserve">Por ordem decrescente, </w:t>
      </w:r>
      <w:r w:rsidR="00B27FC0">
        <w:t xml:space="preserve">por temas, </w:t>
      </w:r>
      <w:r>
        <w:t>as maiores demandas dirigidas à Ouvidoria foram:</w:t>
      </w:r>
    </w:p>
    <w:p w:rsidR="00263BF7" w:rsidRDefault="00263BF7" w:rsidP="00581447">
      <w:pPr>
        <w:ind w:firstLine="709"/>
        <w:jc w:val="both"/>
      </w:pPr>
      <w:r>
        <w:t>I – questões relat</w:t>
      </w:r>
      <w:r w:rsidR="00D45E05">
        <w:t>i</w:t>
      </w:r>
      <w:r w:rsidR="00254450">
        <w:t>vas às relações de consumo – 410</w:t>
      </w:r>
      <w:r>
        <w:t>;</w:t>
      </w:r>
    </w:p>
    <w:p w:rsidR="00263BF7" w:rsidRDefault="00263BF7" w:rsidP="00581447">
      <w:pPr>
        <w:ind w:firstLine="709"/>
        <w:jc w:val="both"/>
      </w:pPr>
      <w:r>
        <w:t xml:space="preserve">II – </w:t>
      </w:r>
      <w:r w:rsidR="00D45E05">
        <w:t>questões relat</w:t>
      </w:r>
      <w:r w:rsidR="005A01FE">
        <w:t>ivas ao patrimônio público – 271</w:t>
      </w:r>
      <w:r w:rsidR="00D45E05">
        <w:t>;</w:t>
      </w:r>
    </w:p>
    <w:p w:rsidR="00263BF7" w:rsidRDefault="00263BF7" w:rsidP="00581447">
      <w:pPr>
        <w:ind w:firstLine="709"/>
        <w:jc w:val="both"/>
      </w:pPr>
      <w:r>
        <w:t xml:space="preserve">III – </w:t>
      </w:r>
      <w:r w:rsidR="005A01FE">
        <w:t>questões relativas à saúde pública – 162</w:t>
      </w:r>
      <w:r>
        <w:t>;</w:t>
      </w:r>
    </w:p>
    <w:p w:rsidR="00263BF7" w:rsidRDefault="00263BF7" w:rsidP="00581447">
      <w:pPr>
        <w:ind w:firstLine="709"/>
        <w:jc w:val="both"/>
      </w:pPr>
      <w:r>
        <w:t>IV –</w:t>
      </w:r>
      <w:r w:rsidR="005A01FE" w:rsidRPr="005A01FE">
        <w:t xml:space="preserve"> </w:t>
      </w:r>
      <w:r w:rsidR="005A01FE">
        <w:t>questões relativas à habitação e urbanismo – 156</w:t>
      </w:r>
      <w:r>
        <w:t>;</w:t>
      </w:r>
    </w:p>
    <w:p w:rsidR="00263BF7" w:rsidRDefault="00263BF7" w:rsidP="00581447">
      <w:pPr>
        <w:ind w:firstLine="709"/>
        <w:jc w:val="both"/>
      </w:pPr>
      <w:r>
        <w:t>V – questões</w:t>
      </w:r>
      <w:r w:rsidR="005A01FE">
        <w:t xml:space="preserve"> relativas à educação – 137</w:t>
      </w:r>
      <w:r>
        <w:t>; e</w:t>
      </w:r>
    </w:p>
    <w:p w:rsidR="00263BF7" w:rsidRDefault="00263BF7" w:rsidP="00581447">
      <w:pPr>
        <w:ind w:firstLine="709"/>
        <w:jc w:val="both"/>
      </w:pPr>
      <w:r>
        <w:t>VI –</w:t>
      </w:r>
      <w:r w:rsidR="00D45E05" w:rsidRPr="00D45E05">
        <w:t xml:space="preserve"> </w:t>
      </w:r>
      <w:r w:rsidR="00D45E05">
        <w:t>qu</w:t>
      </w:r>
      <w:r w:rsidR="005A01FE">
        <w:t>estões relativas</w:t>
      </w:r>
      <w:r w:rsidR="005A01FE" w:rsidRPr="005A01FE">
        <w:t xml:space="preserve"> </w:t>
      </w:r>
      <w:r w:rsidR="005A01FE">
        <w:t>ao meio ambiente – 87</w:t>
      </w:r>
      <w:r>
        <w:t>.</w:t>
      </w:r>
    </w:p>
    <w:p w:rsidR="005A01FE" w:rsidRDefault="005A01FE" w:rsidP="00581447">
      <w:pPr>
        <w:ind w:firstLine="709"/>
        <w:jc w:val="both"/>
      </w:pPr>
      <w:r>
        <w:t>Como sempre, as demandas relativas às relações de consumo foram em maior número no trimestre. Dentre as ouvidorias do Ministério Público, a Ouvidoria do Ministério Público de São Paulo é a única em que as demandas relativas às relações de consumo são em maior número do que aquelas relativas ao patrimônio público. Isso se explica pelo fato de a maior parte das empresas, inclusive e principalmente de comércio eletrônico, terem suas sedes em nosso Estado.</w:t>
      </w:r>
    </w:p>
    <w:p w:rsidR="005A01FE" w:rsidRDefault="005A01FE" w:rsidP="00581447">
      <w:pPr>
        <w:ind w:firstLine="709"/>
        <w:jc w:val="both"/>
      </w:pPr>
      <w:r>
        <w:t>Tradicionalmente, no começo de cada ano também aumentam as manifestações relativas à educação, tendo em vista o início do ano letivo. Daí ter ocorrido um aumento significativo das manifestações relativas à educação.</w:t>
      </w:r>
    </w:p>
    <w:p w:rsidR="00DE6BD3" w:rsidRDefault="005A01FE" w:rsidP="00581447">
      <w:pPr>
        <w:ind w:firstLine="709"/>
        <w:jc w:val="both"/>
      </w:pPr>
      <w:r>
        <w:t xml:space="preserve">Voltaram também a crescer as manifestações </w:t>
      </w:r>
      <w:r w:rsidR="00DE6BD3">
        <w:t>contrárias</w:t>
      </w:r>
      <w:r>
        <w:t xml:space="preserve"> ao</w:t>
      </w:r>
      <w:r w:rsidR="00A80103">
        <w:t>s</w:t>
      </w:r>
      <w:r>
        <w:t xml:space="preserve"> </w:t>
      </w:r>
      <w:r w:rsidR="00A80103">
        <w:t xml:space="preserve">chamados “bailes funk” e ao </w:t>
      </w:r>
      <w:r>
        <w:t>abuso</w:t>
      </w:r>
      <w:r w:rsidR="00A80103">
        <w:t xml:space="preserve"> na utilização de aparelhos sonoros. A maior parte dessas manifestações é enviada à Promotoria de Habitação e Urbanismo, por envolver o uso indevido de ruas e praças.</w:t>
      </w:r>
    </w:p>
    <w:p w:rsidR="00A80103" w:rsidRDefault="00A80103" w:rsidP="00581447">
      <w:pPr>
        <w:ind w:firstLine="709"/>
        <w:jc w:val="both"/>
      </w:pPr>
      <w:r>
        <w:t xml:space="preserve">Aliás, urge que o Ministério Público encontre um caminho, senão para solucionar, pelo menos para minimizar os problemas causados pelos “bailes funk”. Ruas são fechadas pelos participantes, sem qualquer controle pela municipalidade, o uso de entorpecentes e a prática de sexo em público, </w:t>
      </w:r>
      <w:r w:rsidR="00DE6BD3">
        <w:t xml:space="preserve">inclusive com a </w:t>
      </w:r>
      <w:r w:rsidR="00895FA1">
        <w:t>presença</w:t>
      </w:r>
      <w:r w:rsidR="00DE6BD3">
        <w:t xml:space="preserve"> de adolescentes, </w:t>
      </w:r>
      <w:r w:rsidR="00895FA1">
        <w:t>são recorrentes e incentivada</w:t>
      </w:r>
      <w:r>
        <w:t>s pelas letras das m</w:t>
      </w:r>
      <w:r w:rsidR="00895FA1">
        <w:t>úsicas</w:t>
      </w:r>
      <w:r>
        <w:t>.</w:t>
      </w:r>
    </w:p>
    <w:p w:rsidR="00A80103" w:rsidRDefault="00DE6BD3" w:rsidP="00581447">
      <w:pPr>
        <w:ind w:firstLine="709"/>
        <w:jc w:val="both"/>
      </w:pPr>
      <w:r>
        <w:t>Como isso ocorre nos bairros periféricos, habitados por pessoas que gastam tempo enorme para se dirigirem a seus locais de trabalho, veem-se elas sem condições de terem o repouso a quem têm direito em seus finais de semana. O direito que t</w:t>
      </w:r>
      <w:r w:rsidR="00895FA1">
        <w:t>êm alguns de fazer</w:t>
      </w:r>
      <w:r>
        <w:t xml:space="preserve"> suas “manifestações culturais”, como dizem uns, não pode impedir e até eliminar o direito da grande maioria de pessoas de descansar e se refazer para poder enfrentar nova semana de trabalho.</w:t>
      </w:r>
    </w:p>
    <w:p w:rsidR="00DE6BD3" w:rsidRDefault="00DE6BD3" w:rsidP="00581447">
      <w:pPr>
        <w:ind w:firstLine="709"/>
        <w:jc w:val="both"/>
      </w:pPr>
      <w:r>
        <w:lastRenderedPageBreak/>
        <w:t>No mês de março, uma de nossas grandes emissoras de rádio abriu um espaço para reclamações a respeito desses “bailes funk”, e o que se ouviu a respeito do que acontece nesses locais é de estarrecer.</w:t>
      </w:r>
      <w:r w:rsidR="00895FA1">
        <w:t xml:space="preserve"> Essa a razão de virmos insistindo em nossos relatórios </w:t>
      </w:r>
      <w:r w:rsidR="00840969">
        <w:t xml:space="preserve">no sentido de </w:t>
      </w:r>
      <w:bookmarkStart w:id="0" w:name="_GoBack"/>
      <w:bookmarkEnd w:id="0"/>
      <w:r w:rsidR="00895FA1">
        <w:t>que o Ministério Público não pode ficar alheio a esses acontecimentos.</w:t>
      </w:r>
    </w:p>
    <w:p w:rsidR="00581447" w:rsidRDefault="00B27FC0" w:rsidP="00581447">
      <w:pPr>
        <w:ind w:firstLine="709"/>
        <w:jc w:val="both"/>
      </w:pPr>
      <w:r>
        <w:t xml:space="preserve">Estes os aspectos mais relevantes da atuação da Ouvidoria do Ministério Público do Estado de São Paulo neste </w:t>
      </w:r>
      <w:r w:rsidR="00DE6BD3">
        <w:t>primeiro trimestre de 2.014</w:t>
      </w:r>
      <w:r>
        <w:t>.</w:t>
      </w:r>
    </w:p>
    <w:p w:rsidR="00581447" w:rsidRDefault="00581447" w:rsidP="00581447">
      <w:pPr>
        <w:ind w:firstLine="709"/>
        <w:jc w:val="both"/>
      </w:pPr>
    </w:p>
    <w:p w:rsidR="00581447" w:rsidRDefault="00581447" w:rsidP="00581447">
      <w:pPr>
        <w:ind w:firstLine="709"/>
        <w:jc w:val="both"/>
      </w:pPr>
    </w:p>
    <w:p w:rsidR="00581447" w:rsidRPr="00FF4D02" w:rsidRDefault="00581447" w:rsidP="00581447">
      <w:pPr>
        <w:spacing w:after="0"/>
        <w:jc w:val="center"/>
        <w:rPr>
          <w:b/>
        </w:rPr>
      </w:pPr>
      <w:r w:rsidRPr="00FF4D02">
        <w:rPr>
          <w:b/>
        </w:rPr>
        <w:t>Fernando José Marques</w:t>
      </w:r>
    </w:p>
    <w:p w:rsidR="00581447" w:rsidRDefault="00581447" w:rsidP="00581447">
      <w:pPr>
        <w:spacing w:after="0"/>
        <w:jc w:val="center"/>
      </w:pPr>
      <w:r>
        <w:t>Procurador de Justiça</w:t>
      </w:r>
    </w:p>
    <w:p w:rsidR="00581447" w:rsidRDefault="00581447" w:rsidP="00581447">
      <w:pPr>
        <w:spacing w:after="0"/>
        <w:jc w:val="center"/>
      </w:pPr>
      <w:r>
        <w:t>Ouvidor</w:t>
      </w:r>
    </w:p>
    <w:p w:rsidR="00581447" w:rsidRDefault="00581447" w:rsidP="00581447">
      <w:pPr>
        <w:ind w:firstLine="709"/>
        <w:jc w:val="both"/>
      </w:pPr>
    </w:p>
    <w:sectPr w:rsidR="00581447" w:rsidSect="0005423C">
      <w:footerReference w:type="default" r:id="rId10"/>
      <w:pgSz w:w="11906" w:h="16838"/>
      <w:pgMar w:top="1418" w:right="1134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7DB" w:rsidRDefault="003557DB" w:rsidP="0080377D">
      <w:pPr>
        <w:spacing w:after="0" w:line="240" w:lineRule="auto"/>
      </w:pPr>
      <w:r>
        <w:separator/>
      </w:r>
    </w:p>
  </w:endnote>
  <w:endnote w:type="continuationSeparator" w:id="0">
    <w:p w:rsidR="003557DB" w:rsidRDefault="003557DB" w:rsidP="0080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90F" w:rsidRDefault="00527904">
    <w:pPr>
      <w:pStyle w:val="Rodap"/>
      <w:jc w:val="right"/>
    </w:pPr>
    <w:r>
      <w:fldChar w:fldCharType="begin"/>
    </w:r>
    <w:r w:rsidR="005112D2">
      <w:instrText xml:space="preserve"> PAGE   \* MERGEFORMAT </w:instrText>
    </w:r>
    <w:r>
      <w:fldChar w:fldCharType="separate"/>
    </w:r>
    <w:r w:rsidR="008C21B1">
      <w:rPr>
        <w:noProof/>
      </w:rPr>
      <w:t>6</w:t>
    </w:r>
    <w:r>
      <w:rPr>
        <w:noProof/>
      </w:rPr>
      <w:fldChar w:fldCharType="end"/>
    </w:r>
  </w:p>
  <w:p w:rsidR="008A690F" w:rsidRDefault="008A690F" w:rsidP="0080377D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7DB" w:rsidRDefault="003557DB" w:rsidP="0080377D">
      <w:pPr>
        <w:spacing w:after="0" w:line="240" w:lineRule="auto"/>
      </w:pPr>
      <w:r>
        <w:separator/>
      </w:r>
    </w:p>
  </w:footnote>
  <w:footnote w:type="continuationSeparator" w:id="0">
    <w:p w:rsidR="003557DB" w:rsidRDefault="003557DB" w:rsidP="008037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5DD1"/>
    <w:rsid w:val="0001270B"/>
    <w:rsid w:val="0001676A"/>
    <w:rsid w:val="0001698F"/>
    <w:rsid w:val="0002107A"/>
    <w:rsid w:val="00022FB6"/>
    <w:rsid w:val="00027910"/>
    <w:rsid w:val="00030594"/>
    <w:rsid w:val="0005423C"/>
    <w:rsid w:val="000605FD"/>
    <w:rsid w:val="000671B9"/>
    <w:rsid w:val="00076904"/>
    <w:rsid w:val="000830B8"/>
    <w:rsid w:val="00085B83"/>
    <w:rsid w:val="000A2BB2"/>
    <w:rsid w:val="000B32AB"/>
    <w:rsid w:val="000B7B58"/>
    <w:rsid w:val="000C12FA"/>
    <w:rsid w:val="000C28E4"/>
    <w:rsid w:val="000E5F22"/>
    <w:rsid w:val="000F030D"/>
    <w:rsid w:val="001041D4"/>
    <w:rsid w:val="00111CC1"/>
    <w:rsid w:val="00116EC3"/>
    <w:rsid w:val="00131766"/>
    <w:rsid w:val="00136B17"/>
    <w:rsid w:val="0014161E"/>
    <w:rsid w:val="00160DFA"/>
    <w:rsid w:val="00191691"/>
    <w:rsid w:val="001A6892"/>
    <w:rsid w:val="001C5A10"/>
    <w:rsid w:val="001D02D6"/>
    <w:rsid w:val="001D42D7"/>
    <w:rsid w:val="001F19F3"/>
    <w:rsid w:val="001F1C0D"/>
    <w:rsid w:val="002071F7"/>
    <w:rsid w:val="00254450"/>
    <w:rsid w:val="002578DB"/>
    <w:rsid w:val="00263BF7"/>
    <w:rsid w:val="00265331"/>
    <w:rsid w:val="00271616"/>
    <w:rsid w:val="00273EF1"/>
    <w:rsid w:val="00280B0E"/>
    <w:rsid w:val="002877E2"/>
    <w:rsid w:val="002912D1"/>
    <w:rsid w:val="002950C3"/>
    <w:rsid w:val="002A2315"/>
    <w:rsid w:val="002B58E8"/>
    <w:rsid w:val="002C3E27"/>
    <w:rsid w:val="002C4B10"/>
    <w:rsid w:val="002D0702"/>
    <w:rsid w:val="002E647C"/>
    <w:rsid w:val="00301971"/>
    <w:rsid w:val="0031206A"/>
    <w:rsid w:val="00313760"/>
    <w:rsid w:val="00330636"/>
    <w:rsid w:val="003410E5"/>
    <w:rsid w:val="00341395"/>
    <w:rsid w:val="00342774"/>
    <w:rsid w:val="00343CA4"/>
    <w:rsid w:val="00347FF5"/>
    <w:rsid w:val="003557DB"/>
    <w:rsid w:val="0035713D"/>
    <w:rsid w:val="0036073B"/>
    <w:rsid w:val="00367EC3"/>
    <w:rsid w:val="00371EE2"/>
    <w:rsid w:val="003A2DC6"/>
    <w:rsid w:val="003B116E"/>
    <w:rsid w:val="003B2E59"/>
    <w:rsid w:val="003C257A"/>
    <w:rsid w:val="003C7BBE"/>
    <w:rsid w:val="003D0737"/>
    <w:rsid w:val="003D40BA"/>
    <w:rsid w:val="003E49B1"/>
    <w:rsid w:val="0040443F"/>
    <w:rsid w:val="00420F59"/>
    <w:rsid w:val="00434155"/>
    <w:rsid w:val="00435CC5"/>
    <w:rsid w:val="004409AB"/>
    <w:rsid w:val="00464E85"/>
    <w:rsid w:val="00465AF3"/>
    <w:rsid w:val="004902D1"/>
    <w:rsid w:val="004947AE"/>
    <w:rsid w:val="00496613"/>
    <w:rsid w:val="00503B1D"/>
    <w:rsid w:val="005112D2"/>
    <w:rsid w:val="005215D4"/>
    <w:rsid w:val="00524B2B"/>
    <w:rsid w:val="00527904"/>
    <w:rsid w:val="005306BB"/>
    <w:rsid w:val="0054379A"/>
    <w:rsid w:val="005607D5"/>
    <w:rsid w:val="00562D2F"/>
    <w:rsid w:val="005702A7"/>
    <w:rsid w:val="005742BA"/>
    <w:rsid w:val="00581447"/>
    <w:rsid w:val="00586D61"/>
    <w:rsid w:val="00587FE0"/>
    <w:rsid w:val="00593298"/>
    <w:rsid w:val="005A01FE"/>
    <w:rsid w:val="005A7EFB"/>
    <w:rsid w:val="005C6141"/>
    <w:rsid w:val="005D04C5"/>
    <w:rsid w:val="005D4C6A"/>
    <w:rsid w:val="005D5B6A"/>
    <w:rsid w:val="005E4E1E"/>
    <w:rsid w:val="005F1283"/>
    <w:rsid w:val="00602EEC"/>
    <w:rsid w:val="00605CBC"/>
    <w:rsid w:val="006120AC"/>
    <w:rsid w:val="00625CCB"/>
    <w:rsid w:val="00630957"/>
    <w:rsid w:val="0063706E"/>
    <w:rsid w:val="00641E58"/>
    <w:rsid w:val="006646B3"/>
    <w:rsid w:val="00664B87"/>
    <w:rsid w:val="0067531F"/>
    <w:rsid w:val="00677724"/>
    <w:rsid w:val="006865FB"/>
    <w:rsid w:val="006A4604"/>
    <w:rsid w:val="006C0BEF"/>
    <w:rsid w:val="006C0F6F"/>
    <w:rsid w:val="006C35C0"/>
    <w:rsid w:val="006C6A81"/>
    <w:rsid w:val="006D74C9"/>
    <w:rsid w:val="006E46A9"/>
    <w:rsid w:val="007154CB"/>
    <w:rsid w:val="00715B25"/>
    <w:rsid w:val="00715B68"/>
    <w:rsid w:val="00725B1A"/>
    <w:rsid w:val="00726D8E"/>
    <w:rsid w:val="007273A2"/>
    <w:rsid w:val="00727E43"/>
    <w:rsid w:val="007331D4"/>
    <w:rsid w:val="00736E34"/>
    <w:rsid w:val="00737A3E"/>
    <w:rsid w:val="007406B8"/>
    <w:rsid w:val="007416F4"/>
    <w:rsid w:val="00741B81"/>
    <w:rsid w:val="007460BE"/>
    <w:rsid w:val="00761F22"/>
    <w:rsid w:val="00762792"/>
    <w:rsid w:val="00766328"/>
    <w:rsid w:val="00773C65"/>
    <w:rsid w:val="007833FF"/>
    <w:rsid w:val="007A3DDB"/>
    <w:rsid w:val="007B178E"/>
    <w:rsid w:val="007B2891"/>
    <w:rsid w:val="007B3F77"/>
    <w:rsid w:val="007B433F"/>
    <w:rsid w:val="007B5B30"/>
    <w:rsid w:val="007C7EEB"/>
    <w:rsid w:val="007D3755"/>
    <w:rsid w:val="007D5F91"/>
    <w:rsid w:val="007E478C"/>
    <w:rsid w:val="007F36C4"/>
    <w:rsid w:val="0080377D"/>
    <w:rsid w:val="0081492B"/>
    <w:rsid w:val="00820723"/>
    <w:rsid w:val="00822256"/>
    <w:rsid w:val="00832810"/>
    <w:rsid w:val="008340B6"/>
    <w:rsid w:val="00840969"/>
    <w:rsid w:val="00846FB0"/>
    <w:rsid w:val="00857BB9"/>
    <w:rsid w:val="008600D5"/>
    <w:rsid w:val="00860F42"/>
    <w:rsid w:val="0086546F"/>
    <w:rsid w:val="008737A0"/>
    <w:rsid w:val="00877F1B"/>
    <w:rsid w:val="00892A38"/>
    <w:rsid w:val="00895FA1"/>
    <w:rsid w:val="0089745A"/>
    <w:rsid w:val="008A690F"/>
    <w:rsid w:val="008B0847"/>
    <w:rsid w:val="008B5020"/>
    <w:rsid w:val="008C21B1"/>
    <w:rsid w:val="008C2928"/>
    <w:rsid w:val="008D3FEA"/>
    <w:rsid w:val="008D5443"/>
    <w:rsid w:val="008E30BF"/>
    <w:rsid w:val="00901CA5"/>
    <w:rsid w:val="0090491F"/>
    <w:rsid w:val="00922FCF"/>
    <w:rsid w:val="00931D9B"/>
    <w:rsid w:val="00943512"/>
    <w:rsid w:val="00962D64"/>
    <w:rsid w:val="00967574"/>
    <w:rsid w:val="0097289D"/>
    <w:rsid w:val="00976069"/>
    <w:rsid w:val="00985907"/>
    <w:rsid w:val="009A0D1A"/>
    <w:rsid w:val="009B4C39"/>
    <w:rsid w:val="009B6F54"/>
    <w:rsid w:val="009B7DF5"/>
    <w:rsid w:val="009C5DD1"/>
    <w:rsid w:val="009F09FD"/>
    <w:rsid w:val="009F1EE4"/>
    <w:rsid w:val="00A21390"/>
    <w:rsid w:val="00A21B52"/>
    <w:rsid w:val="00A304D5"/>
    <w:rsid w:val="00A338F3"/>
    <w:rsid w:val="00A35589"/>
    <w:rsid w:val="00A366BA"/>
    <w:rsid w:val="00A60655"/>
    <w:rsid w:val="00A66324"/>
    <w:rsid w:val="00A80103"/>
    <w:rsid w:val="00AD203A"/>
    <w:rsid w:val="00AD4639"/>
    <w:rsid w:val="00AD5F13"/>
    <w:rsid w:val="00AF7094"/>
    <w:rsid w:val="00AF77E6"/>
    <w:rsid w:val="00B0220B"/>
    <w:rsid w:val="00B12B38"/>
    <w:rsid w:val="00B161A3"/>
    <w:rsid w:val="00B27FC0"/>
    <w:rsid w:val="00B36C67"/>
    <w:rsid w:val="00B376FB"/>
    <w:rsid w:val="00B573E4"/>
    <w:rsid w:val="00B65501"/>
    <w:rsid w:val="00B76F9F"/>
    <w:rsid w:val="00B8460E"/>
    <w:rsid w:val="00B84DFB"/>
    <w:rsid w:val="00B9134B"/>
    <w:rsid w:val="00BC1F54"/>
    <w:rsid w:val="00BD3AA1"/>
    <w:rsid w:val="00BD52D5"/>
    <w:rsid w:val="00BE024F"/>
    <w:rsid w:val="00BF60F2"/>
    <w:rsid w:val="00BF6AD3"/>
    <w:rsid w:val="00C10AF5"/>
    <w:rsid w:val="00C14463"/>
    <w:rsid w:val="00C16B4F"/>
    <w:rsid w:val="00C307FC"/>
    <w:rsid w:val="00C37874"/>
    <w:rsid w:val="00C41597"/>
    <w:rsid w:val="00C42D7D"/>
    <w:rsid w:val="00C53526"/>
    <w:rsid w:val="00C60759"/>
    <w:rsid w:val="00C928EA"/>
    <w:rsid w:val="00C93392"/>
    <w:rsid w:val="00CA3BF3"/>
    <w:rsid w:val="00CA589B"/>
    <w:rsid w:val="00CB70CD"/>
    <w:rsid w:val="00CD7A90"/>
    <w:rsid w:val="00CD7C74"/>
    <w:rsid w:val="00D017AA"/>
    <w:rsid w:val="00D06AAD"/>
    <w:rsid w:val="00D2106A"/>
    <w:rsid w:val="00D22054"/>
    <w:rsid w:val="00D25BE1"/>
    <w:rsid w:val="00D279D2"/>
    <w:rsid w:val="00D43645"/>
    <w:rsid w:val="00D44E20"/>
    <w:rsid w:val="00D45E05"/>
    <w:rsid w:val="00D51AAE"/>
    <w:rsid w:val="00D57AAF"/>
    <w:rsid w:val="00D70A5D"/>
    <w:rsid w:val="00D70DB9"/>
    <w:rsid w:val="00D778E3"/>
    <w:rsid w:val="00D872F1"/>
    <w:rsid w:val="00D92DCD"/>
    <w:rsid w:val="00DA25F9"/>
    <w:rsid w:val="00DC03AE"/>
    <w:rsid w:val="00DD02BF"/>
    <w:rsid w:val="00DD4B05"/>
    <w:rsid w:val="00DD5C30"/>
    <w:rsid w:val="00DE0EB5"/>
    <w:rsid w:val="00DE6BD3"/>
    <w:rsid w:val="00DF1F38"/>
    <w:rsid w:val="00DF73EC"/>
    <w:rsid w:val="00E05FED"/>
    <w:rsid w:val="00E161D4"/>
    <w:rsid w:val="00E20BB9"/>
    <w:rsid w:val="00E247DC"/>
    <w:rsid w:val="00E35A47"/>
    <w:rsid w:val="00E35A75"/>
    <w:rsid w:val="00E401F5"/>
    <w:rsid w:val="00E43633"/>
    <w:rsid w:val="00E46FF4"/>
    <w:rsid w:val="00E55079"/>
    <w:rsid w:val="00E6011C"/>
    <w:rsid w:val="00E65AFD"/>
    <w:rsid w:val="00E75EE8"/>
    <w:rsid w:val="00E761A0"/>
    <w:rsid w:val="00E8005C"/>
    <w:rsid w:val="00E841DA"/>
    <w:rsid w:val="00EA70E8"/>
    <w:rsid w:val="00ED217F"/>
    <w:rsid w:val="00ED535F"/>
    <w:rsid w:val="00ED638C"/>
    <w:rsid w:val="00EF0761"/>
    <w:rsid w:val="00EF2E2E"/>
    <w:rsid w:val="00EF6935"/>
    <w:rsid w:val="00F06532"/>
    <w:rsid w:val="00F12A71"/>
    <w:rsid w:val="00F13668"/>
    <w:rsid w:val="00F20059"/>
    <w:rsid w:val="00F277C4"/>
    <w:rsid w:val="00F36829"/>
    <w:rsid w:val="00F73BBC"/>
    <w:rsid w:val="00F83B2A"/>
    <w:rsid w:val="00F87E5D"/>
    <w:rsid w:val="00FB1220"/>
    <w:rsid w:val="00FB50C0"/>
    <w:rsid w:val="00FC06DE"/>
    <w:rsid w:val="00FC13DA"/>
    <w:rsid w:val="00FC7028"/>
    <w:rsid w:val="00FD5909"/>
    <w:rsid w:val="00FE04CB"/>
    <w:rsid w:val="00FE08C9"/>
    <w:rsid w:val="00FE29F0"/>
    <w:rsid w:val="00FF3B7D"/>
    <w:rsid w:val="00FF4D02"/>
    <w:rsid w:val="00FF7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A7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97289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289D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B1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037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377D"/>
  </w:style>
  <w:style w:type="paragraph" w:styleId="Rodap">
    <w:name w:val="footer"/>
    <w:basedOn w:val="Normal"/>
    <w:link w:val="RodapChar"/>
    <w:uiPriority w:val="99"/>
    <w:unhideWhenUsed/>
    <w:rsid w:val="008037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377D"/>
  </w:style>
  <w:style w:type="table" w:styleId="Tabelacomgrade">
    <w:name w:val="Table Grid"/>
    <w:basedOn w:val="Tabelanormal"/>
    <w:uiPriority w:val="59"/>
    <w:rsid w:val="002B58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1">
    <w:name w:val="Light Shading Accent 1"/>
    <w:basedOn w:val="Tabelanormal"/>
    <w:uiPriority w:val="60"/>
    <w:rsid w:val="002B58E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D2106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A7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97289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289D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B1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037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377D"/>
  </w:style>
  <w:style w:type="paragraph" w:styleId="Rodap">
    <w:name w:val="footer"/>
    <w:basedOn w:val="Normal"/>
    <w:link w:val="RodapChar"/>
    <w:uiPriority w:val="99"/>
    <w:unhideWhenUsed/>
    <w:rsid w:val="008037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377D"/>
  </w:style>
  <w:style w:type="table" w:styleId="Tabelacomgrade">
    <w:name w:val="Table Grid"/>
    <w:basedOn w:val="Tabelanormal"/>
    <w:uiPriority w:val="59"/>
    <w:rsid w:val="002B58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1">
    <w:name w:val="Light Shading Accent 1"/>
    <w:basedOn w:val="Tabelanormal"/>
    <w:uiPriority w:val="60"/>
    <w:rsid w:val="002B58E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D2106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Manifestações</c:v>
                </c:pt>
              </c:strCache>
            </c:strRef>
          </c:tx>
          <c:explosion val="25"/>
          <c:dPt>
            <c:idx val="2"/>
            <c:spPr>
              <a:solidFill>
                <a:srgbClr val="00B0F0"/>
              </a:solidFill>
            </c:spPr>
          </c:dPt>
          <c:dPt>
            <c:idx val="3"/>
            <c:spPr>
              <a:solidFill>
                <a:srgbClr val="92D050"/>
              </a:solidFill>
            </c:spPr>
          </c:dPt>
          <c:dPt>
            <c:idx val="4"/>
            <c:spPr>
              <a:solidFill>
                <a:srgbClr val="7030A0"/>
              </a:solidFill>
            </c:spPr>
          </c:dPt>
          <c:dPt>
            <c:idx val="5"/>
            <c:spPr>
              <a:solidFill>
                <a:srgbClr val="FF0000"/>
              </a:solidFill>
            </c:spPr>
          </c:dPt>
          <c:dPt>
            <c:idx val="6"/>
            <c:spPr>
              <a:solidFill>
                <a:srgbClr val="FFFF00"/>
              </a:solidFill>
            </c:spPr>
          </c:dPt>
          <c:dPt>
            <c:idx val="7"/>
            <c:spPr>
              <a:solidFill>
                <a:srgbClr val="00B050"/>
              </a:solidFill>
            </c:spPr>
          </c:dPt>
          <c:dLbls>
            <c:showVal val="1"/>
            <c:showLeaderLines val="1"/>
          </c:dLbls>
          <c:cat>
            <c:strRef>
              <c:f>Plan1!$A$2:$A$9</c:f>
              <c:strCache>
                <c:ptCount val="8"/>
                <c:pt idx="0">
                  <c:v>Apreciações e comentários</c:v>
                </c:pt>
                <c:pt idx="1">
                  <c:v>Críticas</c:v>
                </c:pt>
                <c:pt idx="2">
                  <c:v>Denúncias</c:v>
                </c:pt>
                <c:pt idx="3">
                  <c:v>Elogios</c:v>
                </c:pt>
                <c:pt idx="4">
                  <c:v>Pedidos de Informação</c:v>
                </c:pt>
                <c:pt idx="5">
                  <c:v>Reclamações</c:v>
                </c:pt>
                <c:pt idx="6">
                  <c:v>Sugestões</c:v>
                </c:pt>
                <c:pt idx="7">
                  <c:v>Diversos</c:v>
                </c:pt>
              </c:strCache>
            </c:strRef>
          </c:cat>
          <c:val>
            <c:numRef>
              <c:f>Plan1!$B$2:$B$9</c:f>
              <c:numCache>
                <c:formatCode>General</c:formatCode>
                <c:ptCount val="8"/>
                <c:pt idx="0">
                  <c:v>82</c:v>
                </c:pt>
                <c:pt idx="1">
                  <c:v>8</c:v>
                </c:pt>
                <c:pt idx="2">
                  <c:v>1145</c:v>
                </c:pt>
                <c:pt idx="3">
                  <c:v>21</c:v>
                </c:pt>
                <c:pt idx="4">
                  <c:v>1552</c:v>
                </c:pt>
                <c:pt idx="5">
                  <c:v>1347</c:v>
                </c:pt>
                <c:pt idx="6">
                  <c:v>19</c:v>
                </c:pt>
                <c:pt idx="7">
                  <c:v>305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Acesso à Ouvidoria</c:v>
                </c:pt>
              </c:strCache>
            </c:strRef>
          </c:tx>
          <c:explosion val="25"/>
          <c:dPt>
            <c:idx val="0"/>
            <c:spPr>
              <a:solidFill>
                <a:srgbClr val="FF0000"/>
              </a:solidFill>
            </c:spPr>
          </c:dPt>
          <c:dPt>
            <c:idx val="1"/>
            <c:spPr>
              <a:solidFill>
                <a:srgbClr val="00B0F0"/>
              </a:solidFill>
            </c:spPr>
          </c:dPt>
          <c:dPt>
            <c:idx val="2"/>
            <c:spPr>
              <a:solidFill>
                <a:srgbClr val="00B050"/>
              </a:solidFill>
            </c:spPr>
          </c:dPt>
          <c:dLbls>
            <c:showVal val="1"/>
            <c:showLeaderLines val="1"/>
          </c:dLbls>
          <c:cat>
            <c:strRef>
              <c:f>Plan1!$A$2:$A$5</c:f>
              <c:strCache>
                <c:ptCount val="4"/>
                <c:pt idx="0">
                  <c:v>E-mail</c:v>
                </c:pt>
                <c:pt idx="1">
                  <c:v>Telefone</c:v>
                </c:pt>
                <c:pt idx="2">
                  <c:v>Carta</c:v>
                </c:pt>
                <c:pt idx="3">
                  <c:v>Pessoalmente</c:v>
                </c:pt>
              </c:strCache>
            </c:strRef>
          </c:cat>
          <c:val>
            <c:numRef>
              <c:f>Plan1!$B$2:$B$5</c:f>
              <c:numCache>
                <c:formatCode>General</c:formatCode>
                <c:ptCount val="4"/>
                <c:pt idx="0">
                  <c:v>3573</c:v>
                </c:pt>
                <c:pt idx="1">
                  <c:v>824</c:v>
                </c:pt>
                <c:pt idx="2">
                  <c:v>65</c:v>
                </c:pt>
                <c:pt idx="3">
                  <c:v>17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  <c:dispBlanksAs val="zero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chart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2.011</c:v>
                </c:pt>
              </c:strCache>
            </c:strRef>
          </c:tx>
          <c:spPr>
            <a:solidFill>
              <a:srgbClr val="00B0F0"/>
            </a:solidFill>
          </c:spPr>
          <c:cat>
            <c:strRef>
              <c:f>Plan1!$A$2:$A$13</c:f>
              <c:strCache>
                <c:ptCount val="12"/>
                <c:pt idx="0">
                  <c:v>Janeiro</c:v>
                </c:pt>
                <c:pt idx="1">
                  <c:v>Fevereiro</c:v>
                </c:pt>
                <c:pt idx="2">
                  <c:v>Março</c:v>
                </c:pt>
                <c:pt idx="3">
                  <c:v>Abril</c:v>
                </c:pt>
                <c:pt idx="4">
                  <c:v>Maio</c:v>
                </c:pt>
                <c:pt idx="5">
                  <c:v>Junho</c:v>
                </c:pt>
                <c:pt idx="6">
                  <c:v>Julho</c:v>
                </c:pt>
                <c:pt idx="7">
                  <c:v>Agosto</c:v>
                </c:pt>
                <c:pt idx="8">
                  <c:v>Setembro</c:v>
                </c:pt>
                <c:pt idx="9">
                  <c:v>Outubro</c:v>
                </c:pt>
                <c:pt idx="10">
                  <c:v>Novembro</c:v>
                </c:pt>
                <c:pt idx="11">
                  <c:v>Dezembro</c:v>
                </c:pt>
              </c:strCache>
            </c:strRef>
          </c:cat>
          <c:val>
            <c:numRef>
              <c:f>Plan1!$B$2:$B$13</c:f>
              <c:numCache>
                <c:formatCode>General</c:formatCode>
                <c:ptCount val="12"/>
                <c:pt idx="2">
                  <c:v>277</c:v>
                </c:pt>
                <c:pt idx="3">
                  <c:v>668</c:v>
                </c:pt>
                <c:pt idx="4">
                  <c:v>826</c:v>
                </c:pt>
                <c:pt idx="5">
                  <c:v>882</c:v>
                </c:pt>
                <c:pt idx="6">
                  <c:v>888</c:v>
                </c:pt>
                <c:pt idx="7">
                  <c:v>1102</c:v>
                </c:pt>
                <c:pt idx="8">
                  <c:v>1183</c:v>
                </c:pt>
                <c:pt idx="9">
                  <c:v>912</c:v>
                </c:pt>
                <c:pt idx="10">
                  <c:v>1166</c:v>
                </c:pt>
                <c:pt idx="11">
                  <c:v>1040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2.012</c:v>
                </c:pt>
              </c:strCache>
            </c:strRef>
          </c:tx>
          <c:spPr>
            <a:solidFill>
              <a:srgbClr val="7030A0"/>
            </a:solidFill>
          </c:spPr>
          <c:cat>
            <c:strRef>
              <c:f>Plan1!$A$2:$A$13</c:f>
              <c:strCache>
                <c:ptCount val="12"/>
                <c:pt idx="0">
                  <c:v>Janeiro</c:v>
                </c:pt>
                <c:pt idx="1">
                  <c:v>Fevereiro</c:v>
                </c:pt>
                <c:pt idx="2">
                  <c:v>Março</c:v>
                </c:pt>
                <c:pt idx="3">
                  <c:v>Abril</c:v>
                </c:pt>
                <c:pt idx="4">
                  <c:v>Maio</c:v>
                </c:pt>
                <c:pt idx="5">
                  <c:v>Junho</c:v>
                </c:pt>
                <c:pt idx="6">
                  <c:v>Julho</c:v>
                </c:pt>
                <c:pt idx="7">
                  <c:v>Agosto</c:v>
                </c:pt>
                <c:pt idx="8">
                  <c:v>Setembro</c:v>
                </c:pt>
                <c:pt idx="9">
                  <c:v>Outubro</c:v>
                </c:pt>
                <c:pt idx="10">
                  <c:v>Novembro</c:v>
                </c:pt>
                <c:pt idx="11">
                  <c:v>Dezembro</c:v>
                </c:pt>
              </c:strCache>
            </c:strRef>
          </c:cat>
          <c:val>
            <c:numRef>
              <c:f>Plan1!$C$2:$C$13</c:f>
              <c:numCache>
                <c:formatCode>General</c:formatCode>
                <c:ptCount val="12"/>
                <c:pt idx="0">
                  <c:v>1015</c:v>
                </c:pt>
                <c:pt idx="1">
                  <c:v>1060</c:v>
                </c:pt>
                <c:pt idx="2">
                  <c:v>1258</c:v>
                </c:pt>
                <c:pt idx="3">
                  <c:v>1184</c:v>
                </c:pt>
                <c:pt idx="4">
                  <c:v>1302</c:v>
                </c:pt>
                <c:pt idx="5">
                  <c:v>1154</c:v>
                </c:pt>
                <c:pt idx="6">
                  <c:v>1226</c:v>
                </c:pt>
                <c:pt idx="7">
                  <c:v>1329</c:v>
                </c:pt>
                <c:pt idx="8">
                  <c:v>1115</c:v>
                </c:pt>
                <c:pt idx="9">
                  <c:v>1353</c:v>
                </c:pt>
                <c:pt idx="10">
                  <c:v>1150</c:v>
                </c:pt>
                <c:pt idx="11">
                  <c:v>1026</c:v>
                </c:pt>
              </c:numCache>
            </c:numRef>
          </c:val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2.013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Plan1!$A$2:$A$13</c:f>
              <c:strCache>
                <c:ptCount val="12"/>
                <c:pt idx="0">
                  <c:v>Janeiro</c:v>
                </c:pt>
                <c:pt idx="1">
                  <c:v>Fevereiro</c:v>
                </c:pt>
                <c:pt idx="2">
                  <c:v>Março</c:v>
                </c:pt>
                <c:pt idx="3">
                  <c:v>Abril</c:v>
                </c:pt>
                <c:pt idx="4">
                  <c:v>Maio</c:v>
                </c:pt>
                <c:pt idx="5">
                  <c:v>Junho</c:v>
                </c:pt>
                <c:pt idx="6">
                  <c:v>Julho</c:v>
                </c:pt>
                <c:pt idx="7">
                  <c:v>Agosto</c:v>
                </c:pt>
                <c:pt idx="8">
                  <c:v>Setembro</c:v>
                </c:pt>
                <c:pt idx="9">
                  <c:v>Outubro</c:v>
                </c:pt>
                <c:pt idx="10">
                  <c:v>Novembro</c:v>
                </c:pt>
                <c:pt idx="11">
                  <c:v>Dezembro</c:v>
                </c:pt>
              </c:strCache>
            </c:strRef>
          </c:cat>
          <c:val>
            <c:numRef>
              <c:f>Plan1!$D$2:$D$13</c:f>
              <c:numCache>
                <c:formatCode>General</c:formatCode>
                <c:ptCount val="12"/>
                <c:pt idx="0">
                  <c:v>1288</c:v>
                </c:pt>
                <c:pt idx="1">
                  <c:v>1293</c:v>
                </c:pt>
                <c:pt idx="2">
                  <c:v>1178</c:v>
                </c:pt>
                <c:pt idx="3">
                  <c:v>1377</c:v>
                </c:pt>
                <c:pt idx="4">
                  <c:v>1072</c:v>
                </c:pt>
                <c:pt idx="5">
                  <c:v>1221</c:v>
                </c:pt>
                <c:pt idx="6">
                  <c:v>1288</c:v>
                </c:pt>
                <c:pt idx="7">
                  <c:v>1509</c:v>
                </c:pt>
                <c:pt idx="8">
                  <c:v>1669</c:v>
                </c:pt>
                <c:pt idx="9">
                  <c:v>1524</c:v>
                </c:pt>
                <c:pt idx="10">
                  <c:v>1276</c:v>
                </c:pt>
                <c:pt idx="11">
                  <c:v>1062</c:v>
                </c:pt>
              </c:numCache>
            </c:numRef>
          </c:val>
        </c:ser>
        <c:ser>
          <c:idx val="3"/>
          <c:order val="3"/>
          <c:tx>
            <c:strRef>
              <c:f>Plan1!$E$1</c:f>
              <c:strCache>
                <c:ptCount val="1"/>
                <c:pt idx="0">
                  <c:v>2.014</c:v>
                </c:pt>
              </c:strCache>
            </c:strRef>
          </c:tx>
          <c:spPr>
            <a:solidFill>
              <a:srgbClr val="00B050"/>
            </a:solidFill>
          </c:spPr>
          <c:cat>
            <c:strRef>
              <c:f>Plan1!$A$2:$A$13</c:f>
              <c:strCache>
                <c:ptCount val="12"/>
                <c:pt idx="0">
                  <c:v>Janeiro</c:v>
                </c:pt>
                <c:pt idx="1">
                  <c:v>Fevereiro</c:v>
                </c:pt>
                <c:pt idx="2">
                  <c:v>Março</c:v>
                </c:pt>
                <c:pt idx="3">
                  <c:v>Abril</c:v>
                </c:pt>
                <c:pt idx="4">
                  <c:v>Maio</c:v>
                </c:pt>
                <c:pt idx="5">
                  <c:v>Junho</c:v>
                </c:pt>
                <c:pt idx="6">
                  <c:v>Julho</c:v>
                </c:pt>
                <c:pt idx="7">
                  <c:v>Agosto</c:v>
                </c:pt>
                <c:pt idx="8">
                  <c:v>Setembro</c:v>
                </c:pt>
                <c:pt idx="9">
                  <c:v>Outubro</c:v>
                </c:pt>
                <c:pt idx="10">
                  <c:v>Novembro</c:v>
                </c:pt>
                <c:pt idx="11">
                  <c:v>Dezembro</c:v>
                </c:pt>
              </c:strCache>
            </c:strRef>
          </c:cat>
          <c:val>
            <c:numRef>
              <c:f>Plan1!$E$2:$E$13</c:f>
              <c:numCache>
                <c:formatCode>General</c:formatCode>
                <c:ptCount val="12"/>
                <c:pt idx="0">
                  <c:v>1634</c:v>
                </c:pt>
                <c:pt idx="1">
                  <c:v>1552</c:v>
                </c:pt>
                <c:pt idx="2">
                  <c:v>1293</c:v>
                </c:pt>
              </c:numCache>
            </c:numRef>
          </c:val>
        </c:ser>
        <c:axId val="80861824"/>
        <c:axId val="80867712"/>
      </c:barChart>
      <c:catAx>
        <c:axId val="80861824"/>
        <c:scaling>
          <c:orientation val="minMax"/>
        </c:scaling>
        <c:axPos val="b"/>
        <c:tickLblPos val="nextTo"/>
        <c:crossAx val="80867712"/>
        <c:crosses val="autoZero"/>
        <c:auto val="1"/>
        <c:lblAlgn val="ctr"/>
        <c:lblOffset val="100"/>
      </c:catAx>
      <c:valAx>
        <c:axId val="80867712"/>
        <c:scaling>
          <c:orientation val="minMax"/>
        </c:scaling>
        <c:axPos val="l"/>
        <c:majorGridlines/>
        <c:numFmt formatCode="General" sourceLinked="1"/>
        <c:tickLblPos val="nextTo"/>
        <c:crossAx val="8086182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C554E-32A6-4469-9E50-26DE9A262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1147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MPSP</Company>
  <LinksUpToDate>false</LinksUpToDate>
  <CharactersWithSpaces>7328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MP</cp:lastModifiedBy>
  <cp:revision>2</cp:revision>
  <cp:lastPrinted>2014-04-04T15:04:00Z</cp:lastPrinted>
  <dcterms:created xsi:type="dcterms:W3CDTF">2014-04-04T17:54:00Z</dcterms:created>
  <dcterms:modified xsi:type="dcterms:W3CDTF">2014-04-04T17:54:00Z</dcterms:modified>
</cp:coreProperties>
</file>