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0B23A0">
        <w:rPr>
          <w:sz w:val="32"/>
          <w:szCs w:val="32"/>
        </w:rPr>
        <w:t>2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625CCB">
        <w:rPr>
          <w:sz w:val="32"/>
          <w:szCs w:val="32"/>
        </w:rPr>
        <w:t>014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1676A" w:rsidRDefault="0001676A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 w:rsidRPr="00E65AFD">
        <w:t>Em cumprimento ao disposto no artigo 2º, inciso VII, da Lei Complementar n</w:t>
      </w:r>
      <w:r w:rsidR="002C4B10" w:rsidRPr="00E65AFD">
        <w:t>º 1.127,</w:t>
      </w:r>
      <w:r w:rsidR="002C4B10">
        <w:t xml:space="preserve"> </w:t>
      </w:r>
      <w:r w:rsidR="002C4B10" w:rsidRPr="00E65AFD">
        <w:t>de 29 de novembro de 2</w:t>
      </w:r>
      <w:r w:rsidR="00F06532" w:rsidRPr="00E65AFD">
        <w:t>.</w:t>
      </w:r>
      <w:r w:rsidRPr="00E65AFD">
        <w:t>010, apresentamos o relatório rela</w:t>
      </w:r>
      <w:r w:rsidR="002C4B10" w:rsidRPr="00E65AFD">
        <w:t xml:space="preserve">tivo ao </w:t>
      </w:r>
      <w:r w:rsidR="000B23A0">
        <w:t>segundo</w:t>
      </w:r>
      <w:r w:rsidR="002C4B10" w:rsidRPr="00E65AFD">
        <w:t xml:space="preserve"> trimestre de 2</w:t>
      </w:r>
      <w:r w:rsidR="00F06532" w:rsidRPr="00E65AFD">
        <w:t>.</w:t>
      </w:r>
      <w:r w:rsidRPr="00E65AFD">
        <w:t>01</w:t>
      </w:r>
      <w:r w:rsidR="00E65AFD" w:rsidRPr="00E65AFD">
        <w:t>4</w:t>
      </w:r>
      <w:r w:rsidRPr="00E65AFD">
        <w:t>.</w:t>
      </w:r>
    </w:p>
    <w:p w:rsidR="000B23A0" w:rsidRDefault="000B23A0" w:rsidP="009C5DD1">
      <w:pPr>
        <w:ind w:firstLine="709"/>
        <w:jc w:val="both"/>
      </w:pPr>
      <w:r>
        <w:t>Neste último trimestre houve uma ligeira diminuição do número de manifestações dirigidas à Ouvidoria. Atribuímos esse fato a dois motivos: o primeiro é a identificação do IP (Internet Protocol) do computador usado pelo manifestante, inibindo o envio de mensagens com o uso de nomes falsos; e o segundo a proximidade e o início dos jogos da Copa do Mundo, captando a atenção da grande maioria da população, fazendo-a esquecer dos problemas que a afligem.</w:t>
      </w:r>
    </w:p>
    <w:p w:rsidR="000B32AB" w:rsidRDefault="00822256" w:rsidP="00581447">
      <w:pPr>
        <w:ind w:firstLine="709"/>
        <w:jc w:val="both"/>
      </w:pPr>
      <w:r>
        <w:t xml:space="preserve">Conforme dados extraídos do módulo da Ouvidoria no SIS – MP Integrado, as </w:t>
      </w:r>
      <w:r w:rsidR="00B161A3">
        <w:t xml:space="preserve">manifestações dirigidas à Ouvidoria, </w:t>
      </w:r>
      <w:r w:rsidR="00FE08C9">
        <w:t xml:space="preserve">no </w:t>
      </w:r>
      <w:r w:rsidR="000B23A0">
        <w:t>segundo</w:t>
      </w:r>
      <w:r w:rsidR="00593298">
        <w:t xml:space="preserve"> trimestre de 2</w:t>
      </w:r>
      <w:r w:rsidR="00030594">
        <w:t>.</w:t>
      </w:r>
      <w:r w:rsidR="00593298">
        <w:t>01</w:t>
      </w:r>
      <w:r w:rsidR="00330636">
        <w:t>4</w:t>
      </w:r>
      <w:r w:rsidR="00B161A3">
        <w:t xml:space="preserve">, </w:t>
      </w:r>
      <w:r w:rsidR="000B23A0">
        <w:t>foram num total de 4.023 (quatro mil e vinte e três)</w:t>
      </w:r>
      <w:r w:rsidR="00B161A3">
        <w:t>.</w:t>
      </w:r>
    </w:p>
    <w:p w:rsidR="00581447" w:rsidRDefault="00B161A3" w:rsidP="00581447">
      <w:pPr>
        <w:ind w:firstLine="709"/>
        <w:jc w:val="both"/>
      </w:pPr>
      <w:r>
        <w:t xml:space="preserve">No mês de </w:t>
      </w:r>
      <w:r w:rsidR="000B23A0">
        <w:t>abril</w:t>
      </w:r>
      <w:r w:rsidR="00C41597">
        <w:t xml:space="preserve"> </w:t>
      </w:r>
      <w:r>
        <w:t xml:space="preserve">foram </w:t>
      </w:r>
      <w:r w:rsidR="00030594">
        <w:t>1.</w:t>
      </w:r>
      <w:r w:rsidR="0022757E">
        <w:t>583</w:t>
      </w:r>
      <w:r>
        <w:t xml:space="preserve"> (</w:t>
      </w:r>
      <w:r w:rsidR="00030594">
        <w:t>mil</w:t>
      </w:r>
      <w:r w:rsidR="00FE04CB">
        <w:t xml:space="preserve">, </w:t>
      </w:r>
      <w:r w:rsidR="0022757E">
        <w:t>quinhentas e oitenta e três</w:t>
      </w:r>
      <w:r>
        <w:t xml:space="preserve">), em </w:t>
      </w:r>
      <w:r w:rsidR="0022757E">
        <w:t>maio</w:t>
      </w:r>
      <w:r>
        <w:t xml:space="preserve"> 1</w:t>
      </w:r>
      <w:r w:rsidR="00820723">
        <w:t>.</w:t>
      </w:r>
      <w:r w:rsidR="0022757E">
        <w:t>380</w:t>
      </w:r>
      <w:r>
        <w:t xml:space="preserve"> (mil</w:t>
      </w:r>
      <w:r w:rsidR="00822256">
        <w:t xml:space="preserve">, </w:t>
      </w:r>
      <w:r w:rsidR="0022757E">
        <w:t>trezentas e oitenta</w:t>
      </w:r>
      <w:r>
        <w:t xml:space="preserve">) e em </w:t>
      </w:r>
      <w:r w:rsidR="0022757E">
        <w:t>junho</w:t>
      </w:r>
      <w:r>
        <w:t xml:space="preserve"> 1</w:t>
      </w:r>
      <w:r w:rsidR="000B32AB">
        <w:t>.</w:t>
      </w:r>
      <w:r w:rsidR="0022757E">
        <w:t>060</w:t>
      </w:r>
      <w:r>
        <w:t xml:space="preserve"> (mil</w:t>
      </w:r>
      <w:r w:rsidR="00B376FB">
        <w:t xml:space="preserve"> e </w:t>
      </w:r>
      <w:r w:rsidR="0022757E">
        <w:t>sessenta</w:t>
      </w:r>
      <w:r>
        <w:t xml:space="preserve">), resultando em </w:t>
      </w:r>
      <w:r w:rsidR="0022757E">
        <w:t>4.023</w:t>
      </w:r>
      <w:r>
        <w:t xml:space="preserve"> (</w:t>
      </w:r>
      <w:r w:rsidR="00D22054">
        <w:t>quatro</w:t>
      </w:r>
      <w:r w:rsidR="00B376FB">
        <w:t xml:space="preserve"> mil, </w:t>
      </w:r>
      <w:r w:rsidR="0022757E">
        <w:t>e vinte e três</w:t>
      </w:r>
      <w:r>
        <w:t xml:space="preserve">) manifestações no </w:t>
      </w:r>
      <w:r w:rsidR="0022757E">
        <w:t>2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D22054">
        <w:t>4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22757E">
        <w:t>decréscimo</w:t>
      </w:r>
      <w:r w:rsidR="008B0847">
        <w:t xml:space="preserve"> de </w:t>
      </w:r>
      <w:r w:rsidR="004947AE">
        <w:t>1</w:t>
      </w:r>
      <w:r w:rsidR="0022757E">
        <w:t>0,18</w:t>
      </w:r>
      <w:r w:rsidR="00581447">
        <w:t>% em relação ao trimestre an</w:t>
      </w:r>
      <w:r w:rsidR="00664B87">
        <w:t>terior</w:t>
      </w:r>
      <w:r w:rsidR="004947AE">
        <w:t xml:space="preserve">, </w:t>
      </w:r>
      <w:r w:rsidR="00400EA0">
        <w:t>mas</w:t>
      </w:r>
      <w:r w:rsidR="004947AE">
        <w:t xml:space="preserve"> um </w:t>
      </w:r>
      <w:r w:rsidR="00D22054">
        <w:t>crescimento</w:t>
      </w:r>
      <w:r w:rsidR="00630957">
        <w:t xml:space="preserve"> </w:t>
      </w:r>
      <w:r w:rsidR="00664B87">
        <w:t xml:space="preserve">de </w:t>
      </w:r>
      <w:r w:rsidR="00400EA0">
        <w:t>9,61</w:t>
      </w:r>
      <w:r w:rsidR="00581447">
        <w:t xml:space="preserve">% em relação </w:t>
      </w:r>
      <w:r w:rsidR="00D22054">
        <w:t>ao mesmo período do ano de 2.013</w:t>
      </w:r>
      <w:r w:rsidR="00581447">
        <w:t>.</w:t>
      </w:r>
      <w:r w:rsidR="00400EA0">
        <w:t xml:space="preserve"> Isso demonstra que, na realidade, apesar do decréscimo ocorrido no trimestre em foco, a população tem se dirigido cada vez mais à Ouvidoria do Ministério Público do Estado de São Paulo.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>espeito de suas preocupações</w:t>
      </w:r>
      <w:r w:rsidR="00400EA0">
        <w:t xml:space="preserve"> 656</w:t>
      </w:r>
      <w:r w:rsidR="008B0847">
        <w:t xml:space="preserve"> </w:t>
      </w:r>
      <w:r>
        <w:t>(</w:t>
      </w:r>
      <w:r w:rsidR="00400EA0">
        <w:t>seiscentas e cinquenta e seis</w:t>
      </w:r>
      <w:r>
        <w:t xml:space="preserve">) pessoas, sendo </w:t>
      </w:r>
      <w:r w:rsidR="00400EA0">
        <w:t>645</w:t>
      </w:r>
      <w:r>
        <w:t xml:space="preserve"> (</w:t>
      </w:r>
      <w:r w:rsidR="00400EA0">
        <w:t>seiscentas e quarenta e cinco</w:t>
      </w:r>
      <w:r>
        <w:t xml:space="preserve">) por telefone e </w:t>
      </w:r>
      <w:r w:rsidR="00D22054">
        <w:t>1</w:t>
      </w:r>
      <w:r w:rsidR="00400EA0">
        <w:t>1</w:t>
      </w:r>
      <w:r w:rsidR="004947AE">
        <w:t xml:space="preserve"> </w:t>
      </w:r>
      <w:r>
        <w:t>(</w:t>
      </w:r>
      <w:r w:rsidR="00400EA0">
        <w:t>onze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 xml:space="preserve">s estão assim distribuídas: </w:t>
      </w:r>
      <w:r w:rsidR="00D51AAE">
        <w:t>3.</w:t>
      </w:r>
      <w:r w:rsidR="00400EA0">
        <w:t>290</w:t>
      </w:r>
      <w:r>
        <w:t xml:space="preserve"> (</w:t>
      </w:r>
      <w:r w:rsidR="00860F42">
        <w:t>três</w:t>
      </w:r>
      <w:r>
        <w:t xml:space="preserve"> mil, </w:t>
      </w:r>
      <w:r w:rsidR="00400EA0">
        <w:t>duzentas e noventa</w:t>
      </w:r>
      <w:r>
        <w:t>) me</w:t>
      </w:r>
      <w:r w:rsidR="003E49B1">
        <w:t xml:space="preserve">nsagens por meio eletrônico e </w:t>
      </w:r>
      <w:r w:rsidR="00400EA0">
        <w:t>77</w:t>
      </w:r>
      <w:r>
        <w:t xml:space="preserve"> (</w:t>
      </w:r>
      <w:r w:rsidR="00400EA0">
        <w:t>set</w:t>
      </w:r>
      <w:r w:rsidR="00641E58">
        <w:t xml:space="preserve">enta e </w:t>
      </w:r>
      <w:r w:rsidR="00400EA0">
        <w:t>sete</w:t>
      </w:r>
      <w:r>
        <w:t>) por carta.</w:t>
      </w:r>
    </w:p>
    <w:p w:rsidR="00D51AAE" w:rsidRDefault="00D51AAE" w:rsidP="00581447">
      <w:pPr>
        <w:ind w:firstLine="709"/>
        <w:jc w:val="both"/>
      </w:pPr>
      <w:r>
        <w:t xml:space="preserve">Anote-se que </w:t>
      </w:r>
      <w:r w:rsidR="00400EA0">
        <w:t>965</w:t>
      </w:r>
      <w:r>
        <w:t xml:space="preserve"> (</w:t>
      </w:r>
      <w:r w:rsidR="00400EA0">
        <w:t>novecentas e sessenta e cinco</w:t>
      </w:r>
      <w:r>
        <w:t>) manifestações foram feitas de forma anônima.</w:t>
      </w:r>
    </w:p>
    <w:p w:rsidR="00400EA0" w:rsidRDefault="00400EA0" w:rsidP="00581447">
      <w:pPr>
        <w:ind w:firstLine="709"/>
        <w:jc w:val="both"/>
      </w:pPr>
      <w:r>
        <w:t xml:space="preserve">Continua a chamar a atenção o número de manifestações relativas às relações de consumo, em sua quase totalidade </w:t>
      </w:r>
      <w:r w:rsidR="00FB4760">
        <w:t>referindo-se</w:t>
      </w:r>
      <w:r>
        <w:t xml:space="preserve"> ao comércio eletr</w:t>
      </w:r>
      <w:r w:rsidR="00FB4760">
        <w:t xml:space="preserve">ônico. Versam elas desde à falta de entrega de mercadorias, à entrega de mercadorias diversas daquelas contratadas, à entrega de produtos falsificados e à propaganda enganosa. Nesse universo de reclamações, despontam aquelas que se referem a empresas que permitem a inserção de anúncios de </w:t>
      </w:r>
      <w:r w:rsidR="00FB4760">
        <w:lastRenderedPageBreak/>
        <w:t>terceiros, fazem as cobranças pelas negociações, mas que querem se isentar totalmente das responsabilidades relativas a essas negociações.</w:t>
      </w: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0C12FA">
      <w:pPr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D51A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Críticas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D51AA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933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informação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1.31</w:t>
            </w:r>
            <w:r w:rsidR="000C12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FB476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33</w:t>
            </w:r>
            <w:r w:rsidR="000C12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FB476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322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Promotoria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Justiça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906D3" w:rsidP="00761F2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809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A01D8C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59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/GECAP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A01D8C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38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Procuradorias/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Subprocuradorias/CSMP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/G-PGJ      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3906D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ncaminhamento à DG/CRH e outros órgãos internos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906D3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34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3906D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9F1EE4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F811B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639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F811B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526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F811B2" w:rsidP="009F1EE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965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encerrad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F811B2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3.303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5F1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s </w:t>
            </w:r>
            <w:r w:rsidR="00AD5F1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com pendências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7F36C4" w:rsidP="00E65AFD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C733D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bookmarkStart w:id="0" w:name="_GoBack"/>
            <w:bookmarkEnd w:id="0"/>
            <w:r w:rsidR="00F811B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FC13DA" w:rsidRDefault="00FC13DA" w:rsidP="00581447">
      <w:pPr>
        <w:ind w:firstLine="709"/>
        <w:jc w:val="both"/>
      </w:pPr>
    </w:p>
    <w:p w:rsidR="00F811B2" w:rsidRDefault="00F811B2" w:rsidP="00FC13D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11B2" w:rsidRDefault="005A11B2" w:rsidP="00581447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111CC1">
        <w:t>os dias de hoje,</w:t>
      </w:r>
      <w:r>
        <w:t xml:space="preserve">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5C1571" w:rsidRDefault="005C1571" w:rsidP="00581447">
      <w:pPr>
        <w:ind w:firstLine="709"/>
        <w:jc w:val="both"/>
      </w:pPr>
    </w:p>
    <w:p w:rsidR="000744FC" w:rsidRDefault="000744FC" w:rsidP="00581447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7874" w:rsidRDefault="005D04C5" w:rsidP="00581447">
      <w:pPr>
        <w:ind w:firstLine="709"/>
        <w:jc w:val="both"/>
      </w:pPr>
      <w:r>
        <w:t xml:space="preserve">O número de contatos da população com a Ouvidoria vem aumentando constantemente, devendo ser enfatizado que não tem sido feita qualquer divulgação a </w:t>
      </w:r>
      <w:r>
        <w:lastRenderedPageBreak/>
        <w:t>respeito para o público em geral, como preconizado pelo Conselho Nacional do Ministério Público – CNMP.</w:t>
      </w:r>
    </w:p>
    <w:p w:rsidR="00263BF7" w:rsidRDefault="00263BF7" w:rsidP="00581447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263BF7" w:rsidRDefault="00263BF7" w:rsidP="00581447">
      <w:pPr>
        <w:ind w:firstLine="709"/>
        <w:jc w:val="both"/>
      </w:pPr>
      <w:r>
        <w:t>I – questões relat</w:t>
      </w:r>
      <w:r w:rsidR="00D45E05">
        <w:t>i</w:t>
      </w:r>
      <w:r w:rsidR="00254450">
        <w:t xml:space="preserve">vas às relações de consumo – </w:t>
      </w:r>
      <w:r w:rsidR="00474EE9">
        <w:t>279</w:t>
      </w:r>
      <w:r>
        <w:t>;</w:t>
      </w:r>
    </w:p>
    <w:p w:rsidR="00263BF7" w:rsidRDefault="00263BF7" w:rsidP="00581447">
      <w:pPr>
        <w:ind w:firstLine="709"/>
        <w:jc w:val="both"/>
      </w:pPr>
      <w:r>
        <w:t xml:space="preserve">II – </w:t>
      </w:r>
      <w:r w:rsidR="00D45E05">
        <w:t>questões relat</w:t>
      </w:r>
      <w:r w:rsidR="005A01FE">
        <w:t>ivas ao patrimônio público – 2</w:t>
      </w:r>
      <w:r w:rsidR="00474EE9">
        <w:t>54</w:t>
      </w:r>
      <w:r w:rsidR="00D45E05">
        <w:t>;</w:t>
      </w:r>
    </w:p>
    <w:p w:rsidR="00263BF7" w:rsidRDefault="00263BF7" w:rsidP="00581447">
      <w:pPr>
        <w:ind w:firstLine="709"/>
        <w:jc w:val="both"/>
      </w:pPr>
      <w:r>
        <w:t xml:space="preserve">III – </w:t>
      </w:r>
      <w:r w:rsidR="005A01FE">
        <w:t xml:space="preserve">questões relativas à </w:t>
      </w:r>
      <w:r w:rsidR="00474EE9">
        <w:t>habitação e urbanismo – 132;</w:t>
      </w:r>
    </w:p>
    <w:p w:rsidR="00263BF7" w:rsidRDefault="00263BF7" w:rsidP="00581447">
      <w:pPr>
        <w:ind w:firstLine="709"/>
        <w:jc w:val="both"/>
      </w:pPr>
      <w:r>
        <w:t>IV –</w:t>
      </w:r>
      <w:r w:rsidR="005A01FE" w:rsidRPr="005A01FE">
        <w:t xml:space="preserve"> </w:t>
      </w:r>
      <w:r w:rsidR="005A01FE">
        <w:t xml:space="preserve">questões relativas à </w:t>
      </w:r>
      <w:r w:rsidR="00474EE9">
        <w:t>saúde pública</w:t>
      </w:r>
      <w:r w:rsidR="005A01FE">
        <w:t xml:space="preserve"> – 1</w:t>
      </w:r>
      <w:r w:rsidR="00474EE9">
        <w:t>29</w:t>
      </w:r>
      <w:r>
        <w:t>;</w:t>
      </w:r>
    </w:p>
    <w:p w:rsidR="00263BF7" w:rsidRDefault="00263BF7" w:rsidP="00581447">
      <w:pPr>
        <w:ind w:firstLine="709"/>
        <w:jc w:val="both"/>
      </w:pPr>
      <w:r>
        <w:t>V – questões</w:t>
      </w:r>
      <w:r w:rsidR="005A01FE">
        <w:t xml:space="preserve"> relativas </w:t>
      </w:r>
      <w:r w:rsidR="00474EE9">
        <w:t>ao meio ambiente</w:t>
      </w:r>
      <w:r w:rsidR="005A01FE">
        <w:t xml:space="preserve"> – </w:t>
      </w:r>
      <w:r w:rsidR="00474EE9">
        <w:t>90</w:t>
      </w:r>
      <w:r>
        <w:t>; e</w:t>
      </w:r>
    </w:p>
    <w:p w:rsidR="00263BF7" w:rsidRDefault="00263BF7" w:rsidP="00581447">
      <w:pPr>
        <w:ind w:firstLine="709"/>
        <w:jc w:val="both"/>
      </w:pPr>
      <w:r>
        <w:t>VI –</w:t>
      </w:r>
      <w:r w:rsidR="00D45E05" w:rsidRPr="00D45E05">
        <w:t xml:space="preserve"> </w:t>
      </w:r>
      <w:r w:rsidR="00D45E05">
        <w:t>qu</w:t>
      </w:r>
      <w:r w:rsidR="005A01FE">
        <w:t>estões relativas</w:t>
      </w:r>
      <w:r w:rsidR="005A01FE" w:rsidRPr="005A01FE">
        <w:t xml:space="preserve"> </w:t>
      </w:r>
      <w:r w:rsidR="00474EE9">
        <w:t>à educação</w:t>
      </w:r>
      <w:r w:rsidR="005A01FE">
        <w:t xml:space="preserve"> – </w:t>
      </w:r>
      <w:r w:rsidR="00474EE9">
        <w:t>54</w:t>
      </w:r>
      <w:r>
        <w:t>.</w:t>
      </w:r>
    </w:p>
    <w:p w:rsidR="005A01FE" w:rsidRDefault="005A01FE" w:rsidP="00581447">
      <w:pPr>
        <w:ind w:firstLine="709"/>
        <w:jc w:val="both"/>
      </w:pPr>
      <w:r>
        <w:t>Como sempre, as demandas relativas às relações de consumo foram em maior número no trimestre. Dentre as ouvidorias do Ministério Público, a Ouvidoria do Ministério Público de São Paulo é a única em que as demandas relativas às relações de consumo são em maior número do que aquelas relativas ao patrimônio público. Isso se explica pelo fato de a maior parte das empresas, inclusive e principalmente de comércio eletrônico, terem suas sedes em nosso Estado</w:t>
      </w:r>
      <w:r w:rsidR="00474EE9">
        <w:t>, como ressaltado linhas acima</w:t>
      </w:r>
      <w:r>
        <w:t>.</w:t>
      </w:r>
    </w:p>
    <w:p w:rsidR="00DE6BD3" w:rsidRDefault="00474EE9" w:rsidP="00581447">
      <w:pPr>
        <w:ind w:firstLine="709"/>
        <w:jc w:val="both"/>
      </w:pPr>
      <w:r>
        <w:t xml:space="preserve">Têm sido constantes </w:t>
      </w:r>
      <w:r w:rsidR="005A01FE">
        <w:t xml:space="preserve">as manifestações </w:t>
      </w:r>
      <w:r w:rsidR="00DE6BD3">
        <w:t>contrárias</w:t>
      </w:r>
      <w:r w:rsidR="005A01FE">
        <w:t xml:space="preserve"> ao</w:t>
      </w:r>
      <w:r w:rsidR="00A80103">
        <w:t>s</w:t>
      </w:r>
      <w:r w:rsidR="005A01FE">
        <w:t xml:space="preserve"> </w:t>
      </w:r>
      <w:r w:rsidR="00A80103">
        <w:t xml:space="preserve">chamados “bailes funk” e ao </w:t>
      </w:r>
      <w:r w:rsidR="005A01FE">
        <w:t>abuso</w:t>
      </w:r>
      <w:r w:rsidR="00A80103">
        <w:t xml:space="preserve"> na utilização de aparelhos sonoros. A maior parte dessas manifestações é enviada à Promotoria de Habitação e Urbanismo, por envolver o uso indevido de ruas e praças.</w:t>
      </w:r>
    </w:p>
    <w:p w:rsidR="00A80103" w:rsidRDefault="00A80103" w:rsidP="00581447">
      <w:pPr>
        <w:ind w:firstLine="709"/>
        <w:jc w:val="both"/>
      </w:pPr>
      <w:r>
        <w:t xml:space="preserve">Aliás, </w:t>
      </w:r>
      <w:r w:rsidR="00474EE9">
        <w:t>como temos sempre ressaltado é preciso</w:t>
      </w:r>
      <w:r>
        <w:t xml:space="preserve"> que o Ministério Público encontre um caminho, senão para solucionar, pelo menos para minimizar os problemas causados pelos “bailes funk”. Ruas são fechadas pelos participantes, sem qualquer controle pela municipalidade, o uso de entorpecentes e a prática de sexo em público, </w:t>
      </w:r>
      <w:r w:rsidR="00DE6BD3">
        <w:t xml:space="preserve">inclusive com a </w:t>
      </w:r>
      <w:r w:rsidR="00895FA1">
        <w:t>presença</w:t>
      </w:r>
      <w:r w:rsidR="00DE6BD3">
        <w:t xml:space="preserve"> de adolescentes, </w:t>
      </w:r>
      <w:r w:rsidR="00895FA1">
        <w:t>são recorrentes e incentivada</w:t>
      </w:r>
      <w:r>
        <w:t>s pelas letras das m</w:t>
      </w:r>
      <w:r w:rsidR="00895FA1">
        <w:t>úsicas</w:t>
      </w:r>
      <w:r>
        <w:t>.</w:t>
      </w:r>
    </w:p>
    <w:p w:rsidR="00A80103" w:rsidRDefault="00DE6BD3" w:rsidP="00581447">
      <w:pPr>
        <w:ind w:firstLine="709"/>
        <w:jc w:val="both"/>
      </w:pPr>
      <w:r>
        <w:t>Como isso ocorre nos bairros periféricos, habitados por pessoas que gastam tempo enorme para se dirigirem a seus locais de trabalho, veem-se elas sem condições de terem o repouso a quem têm direito em seus finais de semana. O direito que t</w:t>
      </w:r>
      <w:r w:rsidR="00895FA1">
        <w:t>êm alguns de fazer</w:t>
      </w:r>
      <w:r>
        <w:t xml:space="preserve"> suas “manifestações culturais”, como dizem uns, não pode impedir e até eliminar o direito da grande maioria de pessoas de descansar e se refazer para poder enfrentar nova semana de trabalho.</w:t>
      </w:r>
    </w:p>
    <w:p w:rsidR="00581447" w:rsidRDefault="00B27FC0" w:rsidP="00581447">
      <w:pPr>
        <w:ind w:firstLine="709"/>
        <w:jc w:val="both"/>
      </w:pPr>
      <w:r>
        <w:t xml:space="preserve">Estes os aspectos mais relevantes da atuação da Ouvidoria do Ministério Público do Estado de São Paulo neste </w:t>
      </w:r>
      <w:r w:rsidR="00474EE9">
        <w:t>segundo</w:t>
      </w:r>
      <w:r w:rsidR="00DE6BD3">
        <w:t xml:space="preserve"> trimestre de 2.014</w:t>
      </w:r>
      <w:r>
        <w:t>.</w:t>
      </w: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p w:rsidR="00581447" w:rsidRDefault="00581447" w:rsidP="00581447">
      <w:pPr>
        <w:ind w:firstLine="709"/>
        <w:jc w:val="both"/>
      </w:pP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DDB" w:rsidRDefault="00B96DDB" w:rsidP="0080377D">
      <w:pPr>
        <w:spacing w:after="0" w:line="240" w:lineRule="auto"/>
      </w:pPr>
      <w:r>
        <w:separator/>
      </w:r>
    </w:p>
  </w:endnote>
  <w:endnote w:type="continuationSeparator" w:id="0">
    <w:p w:rsidR="00B96DDB" w:rsidRDefault="00B96DDB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EC6FAC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BC6152">
      <w:rPr>
        <w:noProof/>
      </w:rPr>
      <w:t>5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DDB" w:rsidRDefault="00B96DDB" w:rsidP="0080377D">
      <w:pPr>
        <w:spacing w:after="0" w:line="240" w:lineRule="auto"/>
      </w:pPr>
      <w:r>
        <w:separator/>
      </w:r>
    </w:p>
  </w:footnote>
  <w:footnote w:type="continuationSeparator" w:id="0">
    <w:p w:rsidR="00B96DDB" w:rsidRDefault="00B96DDB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76A"/>
    <w:rsid w:val="0001698F"/>
    <w:rsid w:val="0002107A"/>
    <w:rsid w:val="00022FB6"/>
    <w:rsid w:val="00027910"/>
    <w:rsid w:val="00030594"/>
    <w:rsid w:val="0005423C"/>
    <w:rsid w:val="000605FD"/>
    <w:rsid w:val="000671B9"/>
    <w:rsid w:val="000744FC"/>
    <w:rsid w:val="00076904"/>
    <w:rsid w:val="000830B8"/>
    <w:rsid w:val="00085B83"/>
    <w:rsid w:val="000A2BB2"/>
    <w:rsid w:val="000B23A0"/>
    <w:rsid w:val="000B32AB"/>
    <w:rsid w:val="000B7B58"/>
    <w:rsid w:val="000C12FA"/>
    <w:rsid w:val="000C28E4"/>
    <w:rsid w:val="000C7E28"/>
    <w:rsid w:val="000E5F22"/>
    <w:rsid w:val="000F030D"/>
    <w:rsid w:val="001041D4"/>
    <w:rsid w:val="00111CC1"/>
    <w:rsid w:val="00116EC3"/>
    <w:rsid w:val="00131766"/>
    <w:rsid w:val="00136B17"/>
    <w:rsid w:val="0014161E"/>
    <w:rsid w:val="00160DFA"/>
    <w:rsid w:val="00191691"/>
    <w:rsid w:val="001A6892"/>
    <w:rsid w:val="001C5A10"/>
    <w:rsid w:val="001D02D6"/>
    <w:rsid w:val="001D42D7"/>
    <w:rsid w:val="001F19F3"/>
    <w:rsid w:val="001F1C0D"/>
    <w:rsid w:val="002071F7"/>
    <w:rsid w:val="0022757E"/>
    <w:rsid w:val="00253DEB"/>
    <w:rsid w:val="00254450"/>
    <w:rsid w:val="002578DB"/>
    <w:rsid w:val="00263BF7"/>
    <w:rsid w:val="00265331"/>
    <w:rsid w:val="00271616"/>
    <w:rsid w:val="00273EF1"/>
    <w:rsid w:val="00280B0E"/>
    <w:rsid w:val="002877E2"/>
    <w:rsid w:val="002912D1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30636"/>
    <w:rsid w:val="003410E5"/>
    <w:rsid w:val="00341395"/>
    <w:rsid w:val="00342774"/>
    <w:rsid w:val="00343CA4"/>
    <w:rsid w:val="00347FF5"/>
    <w:rsid w:val="0035713D"/>
    <w:rsid w:val="0036073B"/>
    <w:rsid w:val="00367EC3"/>
    <w:rsid w:val="00371EE2"/>
    <w:rsid w:val="003906D3"/>
    <w:rsid w:val="003A2DC6"/>
    <w:rsid w:val="003B116E"/>
    <w:rsid w:val="003B2E59"/>
    <w:rsid w:val="003C257A"/>
    <w:rsid w:val="003C7BBE"/>
    <w:rsid w:val="003D0737"/>
    <w:rsid w:val="003D40BA"/>
    <w:rsid w:val="003E49B1"/>
    <w:rsid w:val="00400EA0"/>
    <w:rsid w:val="0040443F"/>
    <w:rsid w:val="0041740D"/>
    <w:rsid w:val="00420F59"/>
    <w:rsid w:val="00432C80"/>
    <w:rsid w:val="00434155"/>
    <w:rsid w:val="00435CC5"/>
    <w:rsid w:val="004409AB"/>
    <w:rsid w:val="00464E85"/>
    <w:rsid w:val="00465AF3"/>
    <w:rsid w:val="00474EE9"/>
    <w:rsid w:val="004902D1"/>
    <w:rsid w:val="004947AE"/>
    <w:rsid w:val="00496613"/>
    <w:rsid w:val="00503B1D"/>
    <w:rsid w:val="005112D2"/>
    <w:rsid w:val="005215D4"/>
    <w:rsid w:val="00524B2B"/>
    <w:rsid w:val="005306BB"/>
    <w:rsid w:val="0054379A"/>
    <w:rsid w:val="005607D5"/>
    <w:rsid w:val="00562D2F"/>
    <w:rsid w:val="005702A7"/>
    <w:rsid w:val="005742BA"/>
    <w:rsid w:val="00581447"/>
    <w:rsid w:val="00586D61"/>
    <w:rsid w:val="00587FE0"/>
    <w:rsid w:val="00593298"/>
    <w:rsid w:val="005A01FE"/>
    <w:rsid w:val="005A11B2"/>
    <w:rsid w:val="005A7EFB"/>
    <w:rsid w:val="005C1571"/>
    <w:rsid w:val="005C6141"/>
    <w:rsid w:val="005D04C5"/>
    <w:rsid w:val="005D4C6A"/>
    <w:rsid w:val="005D5B6A"/>
    <w:rsid w:val="005E4E1E"/>
    <w:rsid w:val="005F1283"/>
    <w:rsid w:val="00602EEC"/>
    <w:rsid w:val="00605CBC"/>
    <w:rsid w:val="006120AC"/>
    <w:rsid w:val="00625CCB"/>
    <w:rsid w:val="00630957"/>
    <w:rsid w:val="0063706E"/>
    <w:rsid w:val="00641E58"/>
    <w:rsid w:val="006646B3"/>
    <w:rsid w:val="00664B87"/>
    <w:rsid w:val="00670699"/>
    <w:rsid w:val="0067531F"/>
    <w:rsid w:val="00677724"/>
    <w:rsid w:val="006865FB"/>
    <w:rsid w:val="006A4604"/>
    <w:rsid w:val="006C0BEF"/>
    <w:rsid w:val="006C0F6F"/>
    <w:rsid w:val="006C35C0"/>
    <w:rsid w:val="006C6A81"/>
    <w:rsid w:val="006D74C9"/>
    <w:rsid w:val="006E46A9"/>
    <w:rsid w:val="007154CB"/>
    <w:rsid w:val="00715B25"/>
    <w:rsid w:val="00715B68"/>
    <w:rsid w:val="00725B1A"/>
    <w:rsid w:val="00726D8E"/>
    <w:rsid w:val="007273A2"/>
    <w:rsid w:val="00727E43"/>
    <w:rsid w:val="007331D4"/>
    <w:rsid w:val="00736E34"/>
    <w:rsid w:val="00737A3E"/>
    <w:rsid w:val="007406B8"/>
    <w:rsid w:val="007416F4"/>
    <w:rsid w:val="00741B81"/>
    <w:rsid w:val="007460BE"/>
    <w:rsid w:val="00761F22"/>
    <w:rsid w:val="00762792"/>
    <w:rsid w:val="00766328"/>
    <w:rsid w:val="00773C65"/>
    <w:rsid w:val="007833FF"/>
    <w:rsid w:val="007A3DDB"/>
    <w:rsid w:val="007B178E"/>
    <w:rsid w:val="007B2891"/>
    <w:rsid w:val="007B3F77"/>
    <w:rsid w:val="007B433F"/>
    <w:rsid w:val="007B5B30"/>
    <w:rsid w:val="007C7EEB"/>
    <w:rsid w:val="007D3755"/>
    <w:rsid w:val="007D5F91"/>
    <w:rsid w:val="007E478C"/>
    <w:rsid w:val="007F36C4"/>
    <w:rsid w:val="0080377D"/>
    <w:rsid w:val="0081492B"/>
    <w:rsid w:val="00820723"/>
    <w:rsid w:val="00822256"/>
    <w:rsid w:val="00832810"/>
    <w:rsid w:val="008340B6"/>
    <w:rsid w:val="00840969"/>
    <w:rsid w:val="00846FB0"/>
    <w:rsid w:val="00857BB9"/>
    <w:rsid w:val="008600D5"/>
    <w:rsid w:val="00860F42"/>
    <w:rsid w:val="0086546F"/>
    <w:rsid w:val="008737A0"/>
    <w:rsid w:val="00877F1B"/>
    <w:rsid w:val="00892A38"/>
    <w:rsid w:val="00895FA1"/>
    <w:rsid w:val="0089745A"/>
    <w:rsid w:val="008A690F"/>
    <w:rsid w:val="008B0847"/>
    <w:rsid w:val="008B5020"/>
    <w:rsid w:val="008C2928"/>
    <w:rsid w:val="008D3FEA"/>
    <w:rsid w:val="008D5443"/>
    <w:rsid w:val="008E30BF"/>
    <w:rsid w:val="00901CA5"/>
    <w:rsid w:val="0090491F"/>
    <w:rsid w:val="00922FCF"/>
    <w:rsid w:val="00931D9B"/>
    <w:rsid w:val="00943512"/>
    <w:rsid w:val="00962D64"/>
    <w:rsid w:val="00967574"/>
    <w:rsid w:val="0097289D"/>
    <w:rsid w:val="00976069"/>
    <w:rsid w:val="00985907"/>
    <w:rsid w:val="009A0D1A"/>
    <w:rsid w:val="009B4C39"/>
    <w:rsid w:val="009B6F54"/>
    <w:rsid w:val="009B7DF5"/>
    <w:rsid w:val="009C5DD1"/>
    <w:rsid w:val="009F09FD"/>
    <w:rsid w:val="009F1EE4"/>
    <w:rsid w:val="00A01D8C"/>
    <w:rsid w:val="00A21390"/>
    <w:rsid w:val="00A21B52"/>
    <w:rsid w:val="00A304D5"/>
    <w:rsid w:val="00A338F3"/>
    <w:rsid w:val="00A35589"/>
    <w:rsid w:val="00A366BA"/>
    <w:rsid w:val="00A60655"/>
    <w:rsid w:val="00A66324"/>
    <w:rsid w:val="00A80103"/>
    <w:rsid w:val="00AD203A"/>
    <w:rsid w:val="00AD4639"/>
    <w:rsid w:val="00AD5F13"/>
    <w:rsid w:val="00AF7094"/>
    <w:rsid w:val="00AF77E6"/>
    <w:rsid w:val="00B0220B"/>
    <w:rsid w:val="00B12B38"/>
    <w:rsid w:val="00B161A3"/>
    <w:rsid w:val="00B27FC0"/>
    <w:rsid w:val="00B36C67"/>
    <w:rsid w:val="00B376FB"/>
    <w:rsid w:val="00B573E4"/>
    <w:rsid w:val="00B65501"/>
    <w:rsid w:val="00B76F9F"/>
    <w:rsid w:val="00B8460E"/>
    <w:rsid w:val="00B84DFB"/>
    <w:rsid w:val="00B9134B"/>
    <w:rsid w:val="00B96DDB"/>
    <w:rsid w:val="00BC1F54"/>
    <w:rsid w:val="00BC6152"/>
    <w:rsid w:val="00BD3AA1"/>
    <w:rsid w:val="00BD52D5"/>
    <w:rsid w:val="00BE024F"/>
    <w:rsid w:val="00BF60F2"/>
    <w:rsid w:val="00BF6AD3"/>
    <w:rsid w:val="00C10AF5"/>
    <w:rsid w:val="00C14463"/>
    <w:rsid w:val="00C16B4F"/>
    <w:rsid w:val="00C307FC"/>
    <w:rsid w:val="00C37874"/>
    <w:rsid w:val="00C41597"/>
    <w:rsid w:val="00C42D7D"/>
    <w:rsid w:val="00C53526"/>
    <w:rsid w:val="00C60759"/>
    <w:rsid w:val="00C733D3"/>
    <w:rsid w:val="00C928EA"/>
    <w:rsid w:val="00C93392"/>
    <w:rsid w:val="00CA3BF3"/>
    <w:rsid w:val="00CA589B"/>
    <w:rsid w:val="00CB70CD"/>
    <w:rsid w:val="00CD7A90"/>
    <w:rsid w:val="00CD7C74"/>
    <w:rsid w:val="00D017AA"/>
    <w:rsid w:val="00D06AAD"/>
    <w:rsid w:val="00D2106A"/>
    <w:rsid w:val="00D22054"/>
    <w:rsid w:val="00D25BE1"/>
    <w:rsid w:val="00D279D2"/>
    <w:rsid w:val="00D43645"/>
    <w:rsid w:val="00D44E20"/>
    <w:rsid w:val="00D45E05"/>
    <w:rsid w:val="00D51AAE"/>
    <w:rsid w:val="00D57AAF"/>
    <w:rsid w:val="00D70A5D"/>
    <w:rsid w:val="00D70DB9"/>
    <w:rsid w:val="00D778E3"/>
    <w:rsid w:val="00D872F1"/>
    <w:rsid w:val="00D92DCD"/>
    <w:rsid w:val="00DA25F9"/>
    <w:rsid w:val="00DC03AE"/>
    <w:rsid w:val="00DD02BF"/>
    <w:rsid w:val="00DD4B05"/>
    <w:rsid w:val="00DD5C30"/>
    <w:rsid w:val="00DE0EB5"/>
    <w:rsid w:val="00DE6BD3"/>
    <w:rsid w:val="00DF1F38"/>
    <w:rsid w:val="00DF73EC"/>
    <w:rsid w:val="00E05FED"/>
    <w:rsid w:val="00E161D4"/>
    <w:rsid w:val="00E20BB9"/>
    <w:rsid w:val="00E247DC"/>
    <w:rsid w:val="00E35A47"/>
    <w:rsid w:val="00E35A75"/>
    <w:rsid w:val="00E401F5"/>
    <w:rsid w:val="00E43633"/>
    <w:rsid w:val="00E46FF4"/>
    <w:rsid w:val="00E55079"/>
    <w:rsid w:val="00E6011C"/>
    <w:rsid w:val="00E65AFD"/>
    <w:rsid w:val="00E75EE8"/>
    <w:rsid w:val="00E761A0"/>
    <w:rsid w:val="00E8005C"/>
    <w:rsid w:val="00E841DA"/>
    <w:rsid w:val="00EA70E8"/>
    <w:rsid w:val="00EC6FAC"/>
    <w:rsid w:val="00ED217F"/>
    <w:rsid w:val="00ED535F"/>
    <w:rsid w:val="00ED638C"/>
    <w:rsid w:val="00EF0761"/>
    <w:rsid w:val="00EF2E2E"/>
    <w:rsid w:val="00EF6935"/>
    <w:rsid w:val="00F06532"/>
    <w:rsid w:val="00F12A71"/>
    <w:rsid w:val="00F13668"/>
    <w:rsid w:val="00F20059"/>
    <w:rsid w:val="00F277C4"/>
    <w:rsid w:val="00F36829"/>
    <w:rsid w:val="00F73BBC"/>
    <w:rsid w:val="00F811B2"/>
    <w:rsid w:val="00F83B2A"/>
    <w:rsid w:val="00F87E5D"/>
    <w:rsid w:val="00FB1220"/>
    <w:rsid w:val="00FB4760"/>
    <w:rsid w:val="00FB50C0"/>
    <w:rsid w:val="00FC06DE"/>
    <w:rsid w:val="00FC13DA"/>
    <w:rsid w:val="00FC7028"/>
    <w:rsid w:val="00FD5909"/>
    <w:rsid w:val="00FE04CB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C000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FFFF00"/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Plan1!$A$2:$A$9</c:f>
              <c:strCache>
                <c:ptCount val="8"/>
                <c:pt idx="0">
                  <c:v>Apreciações e comentários</c:v>
                </c:pt>
                <c:pt idx="1">
                  <c:v>Críticas</c:v>
                </c:pt>
                <c:pt idx="2">
                  <c:v>Denúncias</c:v>
                </c:pt>
                <c:pt idx="3">
                  <c:v>Elogios</c:v>
                </c:pt>
                <c:pt idx="4">
                  <c:v>Pedidos de Informação</c:v>
                </c:pt>
                <c:pt idx="5">
                  <c:v>Reclamações</c:v>
                </c:pt>
                <c:pt idx="6">
                  <c:v>Sugestões</c:v>
                </c:pt>
                <c:pt idx="7">
                  <c:v>Diversos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91</c:v>
                </c:pt>
                <c:pt idx="1">
                  <c:v>2</c:v>
                </c:pt>
                <c:pt idx="2">
                  <c:v>933</c:v>
                </c:pt>
                <c:pt idx="3">
                  <c:v>9</c:v>
                </c:pt>
                <c:pt idx="4" formatCode="#,##0">
                  <c:v>1312</c:v>
                </c:pt>
                <c:pt idx="5" formatCode="#,##0">
                  <c:v>1337</c:v>
                </c:pt>
                <c:pt idx="6">
                  <c:v>17</c:v>
                </c:pt>
                <c:pt idx="7">
                  <c:v>322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 formatCode="#,##0">
                  <c:v>3290</c:v>
                </c:pt>
                <c:pt idx="1">
                  <c:v>645</c:v>
                </c:pt>
                <c:pt idx="2">
                  <c:v>77</c:v>
                </c:pt>
                <c:pt idx="3">
                  <c:v>11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 formatCode="#,##0">
                  <c:v>1102</c:v>
                </c:pt>
                <c:pt idx="8" formatCode="#,##0">
                  <c:v>1183</c:v>
                </c:pt>
                <c:pt idx="9">
                  <c:v>912</c:v>
                </c:pt>
                <c:pt idx="10" formatCode="#,##0">
                  <c:v>1166</c:v>
                </c:pt>
                <c:pt idx="11" formatCode="#,##0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#,##0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#,##0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  <c:pt idx="3">
                  <c:v>1377</c:v>
                </c:pt>
                <c:pt idx="4">
                  <c:v>1072</c:v>
                </c:pt>
                <c:pt idx="5">
                  <c:v>1221</c:v>
                </c:pt>
                <c:pt idx="6">
                  <c:v>1288</c:v>
                </c:pt>
                <c:pt idx="7">
                  <c:v>1509</c:v>
                </c:pt>
                <c:pt idx="8">
                  <c:v>1669</c:v>
                </c:pt>
                <c:pt idx="9">
                  <c:v>1524</c:v>
                </c:pt>
                <c:pt idx="10">
                  <c:v>1276</c:v>
                </c:pt>
                <c:pt idx="11">
                  <c:v>1062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2.014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Plan1!$E$2:$E$13</c:f>
              <c:numCache>
                <c:formatCode>#,##0</c:formatCode>
                <c:ptCount val="12"/>
                <c:pt idx="0">
                  <c:v>1634</c:v>
                </c:pt>
                <c:pt idx="1">
                  <c:v>1552</c:v>
                </c:pt>
                <c:pt idx="2">
                  <c:v>1293</c:v>
                </c:pt>
                <c:pt idx="3">
                  <c:v>1583</c:v>
                </c:pt>
                <c:pt idx="4">
                  <c:v>1380</c:v>
                </c:pt>
                <c:pt idx="5">
                  <c:v>1060</c:v>
                </c:pt>
              </c:numCache>
            </c:numRef>
          </c:val>
        </c:ser>
        <c:axId val="94397184"/>
        <c:axId val="94398720"/>
      </c:barChart>
      <c:catAx>
        <c:axId val="94397184"/>
        <c:scaling>
          <c:orientation val="minMax"/>
        </c:scaling>
        <c:axPos val="b"/>
        <c:tickLblPos val="nextTo"/>
        <c:crossAx val="94398720"/>
        <c:crosses val="autoZero"/>
        <c:auto val="1"/>
        <c:lblAlgn val="ctr"/>
        <c:lblOffset val="100"/>
      </c:catAx>
      <c:valAx>
        <c:axId val="94398720"/>
        <c:scaling>
          <c:orientation val="minMax"/>
        </c:scaling>
        <c:axPos val="l"/>
        <c:majorGridlines/>
        <c:numFmt formatCode="General" sourceLinked="1"/>
        <c:tickLblPos val="nextTo"/>
        <c:crossAx val="943971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EBA5-E3D3-4B01-B54D-48CE8905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2014-04-04T15:04:00Z</cp:lastPrinted>
  <dcterms:created xsi:type="dcterms:W3CDTF">2014-07-07T19:36:00Z</dcterms:created>
  <dcterms:modified xsi:type="dcterms:W3CDTF">2014-07-07T19:36:00Z</dcterms:modified>
</cp:coreProperties>
</file>