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8610C2">
        <w:rPr>
          <w:sz w:val="32"/>
          <w:szCs w:val="32"/>
        </w:rPr>
        <w:t>4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625CCB">
        <w:rPr>
          <w:sz w:val="32"/>
          <w:szCs w:val="32"/>
        </w:rPr>
        <w:t>014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1676A" w:rsidRDefault="0001676A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 w:rsidRPr="00E65AFD">
        <w:t>Em cumprimento ao disposto no artigo 2º, inciso VII, da Lei Complementar n</w:t>
      </w:r>
      <w:r w:rsidR="002C4B10" w:rsidRPr="00E65AFD">
        <w:t>º 1.127,</w:t>
      </w:r>
      <w:r w:rsidR="002C4B10">
        <w:t xml:space="preserve"> </w:t>
      </w:r>
      <w:r w:rsidR="002C4B10" w:rsidRPr="00E65AFD">
        <w:t>de 29 de novembro de 2</w:t>
      </w:r>
      <w:r w:rsidR="00F06532" w:rsidRPr="00E65AFD">
        <w:t>.</w:t>
      </w:r>
      <w:r w:rsidRPr="00E65AFD">
        <w:t>010, apresentamos o relatório rela</w:t>
      </w:r>
      <w:r w:rsidR="002C4B10" w:rsidRPr="00E65AFD">
        <w:t xml:space="preserve">tivo ao </w:t>
      </w:r>
      <w:r w:rsidR="008610C2">
        <w:t>quarto</w:t>
      </w:r>
      <w:r w:rsidR="002C4B10" w:rsidRPr="00E65AFD">
        <w:t xml:space="preserve"> trimestre de 2</w:t>
      </w:r>
      <w:r w:rsidR="00F06532" w:rsidRPr="00E65AFD">
        <w:t>.</w:t>
      </w:r>
      <w:r w:rsidRPr="00E65AFD">
        <w:t>01</w:t>
      </w:r>
      <w:r w:rsidR="00E65AFD" w:rsidRPr="00E65AFD">
        <w:t>4</w:t>
      </w:r>
      <w:r w:rsidRPr="00E65AFD">
        <w:t>.</w:t>
      </w:r>
    </w:p>
    <w:p w:rsidR="00092E5E" w:rsidRDefault="00092E5E" w:rsidP="009C5DD1">
      <w:pPr>
        <w:ind w:firstLine="709"/>
        <w:jc w:val="both"/>
      </w:pPr>
      <w:r>
        <w:t xml:space="preserve">Nos dias </w:t>
      </w:r>
      <w:r w:rsidR="008610C2">
        <w:t>2</w:t>
      </w:r>
      <w:r>
        <w:t xml:space="preserve"> e </w:t>
      </w:r>
      <w:r w:rsidR="008610C2">
        <w:t>3</w:t>
      </w:r>
      <w:r>
        <w:t xml:space="preserve"> de </w:t>
      </w:r>
      <w:r w:rsidR="008610C2">
        <w:t>outubro</w:t>
      </w:r>
      <w:r>
        <w:t xml:space="preserve"> participamos </w:t>
      </w:r>
      <w:r w:rsidR="008610C2">
        <w:t>da 22</w:t>
      </w:r>
      <w:r>
        <w:t xml:space="preserve">ª Reunião Ordinária do Conselho Nacional de Ouvidores do Ministério Público dos Estados e da União, realizado em </w:t>
      </w:r>
      <w:r w:rsidR="008610C2">
        <w:t>Belém</w:t>
      </w:r>
      <w:r>
        <w:t>,</w:t>
      </w:r>
      <w:r w:rsidR="008610C2">
        <w:t xml:space="preserve"> capital do</w:t>
      </w:r>
      <w:r>
        <w:t xml:space="preserve"> Estado do </w:t>
      </w:r>
      <w:r w:rsidR="008610C2">
        <w:t>Pará.</w:t>
      </w:r>
    </w:p>
    <w:p w:rsidR="008610C2" w:rsidRDefault="008610C2" w:rsidP="009C5DD1">
      <w:pPr>
        <w:ind w:firstLine="709"/>
        <w:jc w:val="both"/>
      </w:pPr>
      <w:r>
        <w:t>Já nos dias 27 e 28 de novembro participamos da 23ª Reunião Ordinária do Conselho Nacional de Ouvidores do Ministério Público dos Estados e da União, realizado em Teresina, capital do Estado do Piauí.</w:t>
      </w:r>
    </w:p>
    <w:p w:rsidR="000B23A0" w:rsidRDefault="000B23A0" w:rsidP="009C5DD1">
      <w:pPr>
        <w:ind w:firstLine="709"/>
        <w:jc w:val="both"/>
      </w:pPr>
      <w:r>
        <w:t xml:space="preserve">Neste </w:t>
      </w:r>
      <w:r w:rsidR="008610C2">
        <w:t>quarto</w:t>
      </w:r>
      <w:r>
        <w:t xml:space="preserve"> trimestre</w:t>
      </w:r>
      <w:r w:rsidR="00633219">
        <w:t xml:space="preserve"> de 2.014</w:t>
      </w:r>
      <w:r>
        <w:t xml:space="preserve"> </w:t>
      </w:r>
      <w:r w:rsidR="00633219">
        <w:t>as</w:t>
      </w:r>
      <w:r>
        <w:t xml:space="preserve"> manifestações dirigidas à Ouvidoria</w:t>
      </w:r>
      <w:r w:rsidR="00633219">
        <w:t xml:space="preserve"> voltaram a </w:t>
      </w:r>
      <w:r w:rsidR="00CD3313">
        <w:t>crescer.</w:t>
      </w:r>
    </w:p>
    <w:p w:rsidR="000B32AB" w:rsidRDefault="00822256" w:rsidP="00581447">
      <w:pPr>
        <w:ind w:firstLine="709"/>
        <w:jc w:val="both"/>
      </w:pPr>
      <w:r>
        <w:t xml:space="preserve">Conforme dados extraídos do módulo da Ouvidoria no SIS – MP Integrado, as </w:t>
      </w:r>
      <w:r w:rsidR="00B161A3">
        <w:t xml:space="preserve">manifestações dirigidas à Ouvidoria, </w:t>
      </w:r>
      <w:r w:rsidR="00FE08C9">
        <w:t xml:space="preserve">no </w:t>
      </w:r>
      <w:r w:rsidR="00CD3313">
        <w:t>quarto</w:t>
      </w:r>
      <w:r w:rsidR="00593298">
        <w:t xml:space="preserve"> trimestre de 2</w:t>
      </w:r>
      <w:r w:rsidR="00030594">
        <w:t>.</w:t>
      </w:r>
      <w:r w:rsidR="00593298">
        <w:t>01</w:t>
      </w:r>
      <w:r w:rsidR="00330636">
        <w:t>4</w:t>
      </w:r>
      <w:r w:rsidR="00B161A3">
        <w:t xml:space="preserve">, </w:t>
      </w:r>
      <w:r w:rsidR="000B23A0">
        <w:t xml:space="preserve">foram num total de </w:t>
      </w:r>
      <w:r w:rsidR="00CD3313">
        <w:t>4.051</w:t>
      </w:r>
      <w:r w:rsidR="000B23A0">
        <w:t xml:space="preserve"> (</w:t>
      </w:r>
      <w:r w:rsidR="00CD3313">
        <w:t>quatro</w:t>
      </w:r>
      <w:r w:rsidR="000B23A0">
        <w:t xml:space="preserve"> mil</w:t>
      </w:r>
      <w:r w:rsidR="00CD3313">
        <w:t xml:space="preserve"> e cinquenta e uma</w:t>
      </w:r>
      <w:r w:rsidR="000B23A0">
        <w:t>)</w:t>
      </w:r>
      <w:r w:rsidR="00B161A3">
        <w:t>.</w:t>
      </w:r>
    </w:p>
    <w:p w:rsidR="00581447" w:rsidRDefault="00B161A3" w:rsidP="00581447">
      <w:pPr>
        <w:ind w:firstLine="709"/>
        <w:jc w:val="both"/>
      </w:pPr>
      <w:r>
        <w:t xml:space="preserve">No mês de </w:t>
      </w:r>
      <w:r w:rsidR="00CD3313">
        <w:t>outubro</w:t>
      </w:r>
      <w:r w:rsidR="00C41597">
        <w:t xml:space="preserve"> </w:t>
      </w:r>
      <w:r>
        <w:t xml:space="preserve">foram </w:t>
      </w:r>
      <w:r w:rsidR="00CD3313">
        <w:t>2.023</w:t>
      </w:r>
      <w:r>
        <w:t xml:space="preserve"> (</w:t>
      </w:r>
      <w:r w:rsidR="00CD3313">
        <w:t>duas mil e vinte e três</w:t>
      </w:r>
      <w:r>
        <w:t xml:space="preserve">), em </w:t>
      </w:r>
      <w:r w:rsidR="00CD3313">
        <w:t>novembro</w:t>
      </w:r>
      <w:r>
        <w:t xml:space="preserve"> 1</w:t>
      </w:r>
      <w:r w:rsidR="00820723">
        <w:t>.</w:t>
      </w:r>
      <w:r w:rsidR="00C04923">
        <w:t>1</w:t>
      </w:r>
      <w:r w:rsidR="00CD3313">
        <w:t>23</w:t>
      </w:r>
      <w:r>
        <w:t xml:space="preserve"> (mil</w:t>
      </w:r>
      <w:r w:rsidR="00822256">
        <w:t xml:space="preserve">, </w:t>
      </w:r>
      <w:r w:rsidR="00C04923">
        <w:t>cento</w:t>
      </w:r>
      <w:r w:rsidR="0022757E">
        <w:t xml:space="preserve"> e </w:t>
      </w:r>
      <w:r w:rsidR="00CD3313">
        <w:t>vinte e três</w:t>
      </w:r>
      <w:r>
        <w:t xml:space="preserve">) e em </w:t>
      </w:r>
      <w:r w:rsidR="00CD3313">
        <w:t>dezembro 9</w:t>
      </w:r>
      <w:r w:rsidR="00C04923">
        <w:t>05</w:t>
      </w:r>
      <w:r>
        <w:t xml:space="preserve"> (</w:t>
      </w:r>
      <w:r w:rsidR="00CD3313">
        <w:t>novecentas</w:t>
      </w:r>
      <w:r w:rsidR="00B376FB">
        <w:t xml:space="preserve"> e </w:t>
      </w:r>
      <w:r w:rsidR="00C04923">
        <w:t>cinco</w:t>
      </w:r>
      <w:r>
        <w:t xml:space="preserve">), resultando em </w:t>
      </w:r>
      <w:r w:rsidR="00BF6918">
        <w:t>4.051</w:t>
      </w:r>
      <w:r>
        <w:t xml:space="preserve"> (</w:t>
      </w:r>
      <w:r w:rsidR="00BF6918">
        <w:t>quatro mil e cinquenta e uma</w:t>
      </w:r>
      <w:r>
        <w:t xml:space="preserve">) manifestações no </w:t>
      </w:r>
      <w:r w:rsidR="00BF6918">
        <w:t>4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D22054">
        <w:t>4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CD3313">
        <w:t>a</w:t>
      </w:r>
      <w:r w:rsidR="0022757E">
        <w:t>créscimo</w:t>
      </w:r>
      <w:r w:rsidR="008B0847">
        <w:t xml:space="preserve"> de </w:t>
      </w:r>
      <w:r w:rsidR="00BF6918">
        <w:t>7,34</w:t>
      </w:r>
      <w:r w:rsidR="00581447">
        <w:t>% em relação ao trimestre an</w:t>
      </w:r>
      <w:r w:rsidR="00664B87">
        <w:t>terior</w:t>
      </w:r>
      <w:r w:rsidR="00BF6918">
        <w:t xml:space="preserve"> e um acréscimo de 4,89</w:t>
      </w:r>
      <w:r w:rsidR="00C04923">
        <w:t>%</w:t>
      </w:r>
      <w:r w:rsidR="00581447">
        <w:t xml:space="preserve"> em relação </w:t>
      </w:r>
      <w:r w:rsidR="00D22054">
        <w:t>ao mesmo período do ano de 2.013</w:t>
      </w:r>
      <w:r w:rsidR="00581447">
        <w:t>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>espeito de suas preocupações</w:t>
      </w:r>
      <w:r w:rsidR="00AD7EA5">
        <w:t xml:space="preserve"> </w:t>
      </w:r>
      <w:r w:rsidR="00BF6918">
        <w:t>801</w:t>
      </w:r>
      <w:r w:rsidR="008B0847">
        <w:t xml:space="preserve"> </w:t>
      </w:r>
      <w:r>
        <w:t>(</w:t>
      </w:r>
      <w:r w:rsidR="00BF6918">
        <w:t>oitocentas</w:t>
      </w:r>
      <w:r w:rsidR="00400EA0">
        <w:t xml:space="preserve"> e </w:t>
      </w:r>
      <w:r w:rsidR="00BF6918">
        <w:t>uma</w:t>
      </w:r>
      <w:r>
        <w:t xml:space="preserve">) pessoas, sendo </w:t>
      </w:r>
      <w:r w:rsidR="00BF6918">
        <w:t>779</w:t>
      </w:r>
      <w:r>
        <w:t xml:space="preserve"> (</w:t>
      </w:r>
      <w:r w:rsidR="00BF6918">
        <w:t>setecentas</w:t>
      </w:r>
      <w:r w:rsidR="00400EA0">
        <w:t xml:space="preserve"> e </w:t>
      </w:r>
      <w:r w:rsidR="00BF6918">
        <w:t>setenta e nove</w:t>
      </w:r>
      <w:r>
        <w:t xml:space="preserve">) por telefone e </w:t>
      </w:r>
      <w:r w:rsidR="00C04923">
        <w:t>22</w:t>
      </w:r>
      <w:r w:rsidR="004947AE">
        <w:t xml:space="preserve"> </w:t>
      </w:r>
      <w:r>
        <w:t>(</w:t>
      </w:r>
      <w:r w:rsidR="00C04923">
        <w:t>vinte e duas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 xml:space="preserve">s estão assim distribuídas: </w:t>
      </w:r>
      <w:r w:rsidR="00D51AAE">
        <w:t>3.</w:t>
      </w:r>
      <w:r w:rsidR="00AD7EA5">
        <w:t>19</w:t>
      </w:r>
      <w:r w:rsidR="00BF6918">
        <w:t>6</w:t>
      </w:r>
      <w:r>
        <w:t xml:space="preserve"> (</w:t>
      </w:r>
      <w:r w:rsidR="00860F42">
        <w:t>três</w:t>
      </w:r>
      <w:r>
        <w:t xml:space="preserve"> mil</w:t>
      </w:r>
      <w:r w:rsidR="00AD7EA5">
        <w:t>,</w:t>
      </w:r>
      <w:r w:rsidR="00C04923">
        <w:t xml:space="preserve"> </w:t>
      </w:r>
      <w:r w:rsidR="00BF6918">
        <w:t>cento</w:t>
      </w:r>
      <w:r w:rsidR="00AD7EA5">
        <w:t xml:space="preserve"> e noventa</w:t>
      </w:r>
      <w:r w:rsidR="00BF6918">
        <w:t xml:space="preserve"> e seis</w:t>
      </w:r>
      <w:r>
        <w:t>) me</w:t>
      </w:r>
      <w:r w:rsidR="003E49B1">
        <w:t xml:space="preserve">nsagens por meio eletrônico e </w:t>
      </w:r>
      <w:r w:rsidR="00BF6918">
        <w:t>54</w:t>
      </w:r>
      <w:r>
        <w:t xml:space="preserve"> (</w:t>
      </w:r>
      <w:r w:rsidR="00BF6918">
        <w:t>cinquenta e quatro</w:t>
      </w:r>
      <w:r>
        <w:t>) por carta.</w:t>
      </w:r>
    </w:p>
    <w:p w:rsidR="00D51AAE" w:rsidRDefault="00D51AAE" w:rsidP="00581447">
      <w:pPr>
        <w:ind w:firstLine="709"/>
        <w:jc w:val="both"/>
      </w:pPr>
      <w:r>
        <w:t xml:space="preserve">Anote-se que </w:t>
      </w:r>
      <w:r w:rsidR="00BF6918">
        <w:t>977</w:t>
      </w:r>
      <w:r>
        <w:t xml:space="preserve"> (</w:t>
      </w:r>
      <w:r w:rsidR="00BF6918">
        <w:t>nove</w:t>
      </w:r>
      <w:r w:rsidR="00B66E8B">
        <w:t>centas</w:t>
      </w:r>
      <w:r w:rsidR="00BF6918">
        <w:t xml:space="preserve"> e set</w:t>
      </w:r>
      <w:r w:rsidR="00400EA0">
        <w:t xml:space="preserve">enta e </w:t>
      </w:r>
      <w:r w:rsidR="00BF6918">
        <w:t>sete</w:t>
      </w:r>
      <w:r>
        <w:t>) manifestações foram feitas de forma anônima.</w:t>
      </w:r>
    </w:p>
    <w:p w:rsidR="00400EA0" w:rsidRDefault="00400EA0" w:rsidP="00581447">
      <w:pPr>
        <w:ind w:firstLine="709"/>
        <w:jc w:val="both"/>
      </w:pPr>
      <w:r>
        <w:t xml:space="preserve">Continua a chamar a atenção o número de manifestações relativas às relações de consumo, em sua quase totalidade </w:t>
      </w:r>
      <w:r w:rsidR="00FB4760">
        <w:t>referindo-se</w:t>
      </w:r>
      <w:r>
        <w:t xml:space="preserve"> ao comércio eletr</w:t>
      </w:r>
      <w:r w:rsidR="00FB4760">
        <w:t xml:space="preserve">ônico. </w:t>
      </w:r>
      <w:r w:rsidR="00092E5E">
        <w:t xml:space="preserve">Dentro dessas reclamações têm surgido muitas relativas a </w:t>
      </w:r>
      <w:r w:rsidR="00092E5E" w:rsidRPr="00092E5E">
        <w:rPr>
          <w:i/>
        </w:rPr>
        <w:t>sites</w:t>
      </w:r>
      <w:r w:rsidR="00092E5E">
        <w:t xml:space="preserve"> da Internet que fo</w:t>
      </w:r>
      <w:r w:rsidR="00F1033B">
        <w:t>rnecem nome, endereço, telefone</w:t>
      </w:r>
      <w:r w:rsidR="00092E5E">
        <w:t xml:space="preserve"> e CPF, violando a intimidade das pessoas e facilitando a ação de estelionatários</w:t>
      </w:r>
      <w:r w:rsidR="00FB4760">
        <w:t>.</w:t>
      </w:r>
      <w:r w:rsidR="00B66E8B">
        <w:t xml:space="preserve"> Em números praticamente iguais, neste último trimestre tivemos manifestações relativas ao </w:t>
      </w:r>
      <w:r w:rsidR="00B66E8B">
        <w:lastRenderedPageBreak/>
        <w:t xml:space="preserve">patrimônio público e </w:t>
      </w:r>
      <w:r w:rsidR="000A129C">
        <w:t>a</w:t>
      </w:r>
      <w:r w:rsidR="00B66E8B">
        <w:t>quelas relativas aos direitos humanos (saúde, idoso, pessoa com deficiência e inclusão social).</w:t>
      </w: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0C12FA">
      <w:pPr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62354B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D51A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Críticas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62354B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62354B" w:rsidP="0062354B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997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informação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B66E8B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6235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337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B66E8B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6235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457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B66E8B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6235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B66E8B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6235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191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5315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Promotoria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Justiça</w:t>
            </w:r>
            <w:r w:rsidR="00CE71F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62354B" w:rsidP="0053156A">
            <w:pPr>
              <w:spacing w:after="0" w:line="240" w:lineRule="auto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1.5</w:t>
            </w:r>
            <w:r w:rsidR="0053156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235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62354B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15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/GECAP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/GECEP</w:t>
            </w:r>
            <w:r w:rsidR="006235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/GEDEC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62354B" w:rsidP="000A129C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142A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Procuradorias/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Subprocuradorias/CSMP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/G-PGJ      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142AD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3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5315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270F6C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142AD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70F6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53156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ncaminhamento à DG/CRH e outros órgãos internos</w:t>
            </w:r>
            <w:r w:rsidR="00CE71F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3156A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142ADA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15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142AD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143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142AD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331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F811B2" w:rsidP="00BE34E7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42AD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977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encerrad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CE71F8" w:rsidP="00E05F66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4.051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5F1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s </w:t>
            </w:r>
            <w:r w:rsidR="00AD5F1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com pendências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CE71F8" w:rsidP="00CE71F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142AD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FC13DA" w:rsidRDefault="00FC13DA" w:rsidP="00581447">
      <w:pPr>
        <w:ind w:firstLine="709"/>
        <w:jc w:val="both"/>
      </w:pPr>
    </w:p>
    <w:p w:rsidR="00F811B2" w:rsidRDefault="00142ADA" w:rsidP="00FC13D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11B2" w:rsidRDefault="00D51E25" w:rsidP="00581447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19050" t="0" r="1016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111CC1">
        <w:t>os dias de hoje,</w:t>
      </w:r>
      <w:r>
        <w:t xml:space="preserve">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5C1571" w:rsidRDefault="005C1571" w:rsidP="00581447">
      <w:pPr>
        <w:ind w:firstLine="709"/>
        <w:jc w:val="both"/>
      </w:pPr>
    </w:p>
    <w:p w:rsidR="000744FC" w:rsidRDefault="00266A00" w:rsidP="00581447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7874" w:rsidRDefault="005D04C5" w:rsidP="00581447">
      <w:pPr>
        <w:ind w:firstLine="709"/>
        <w:jc w:val="both"/>
      </w:pPr>
      <w:r>
        <w:lastRenderedPageBreak/>
        <w:t>O número de contatos da população</w:t>
      </w:r>
      <w:r w:rsidR="00523CEB">
        <w:t xml:space="preserve"> tem se mostrado estabilizado, apesar do </w:t>
      </w:r>
      <w:r w:rsidR="00656F79">
        <w:t xml:space="preserve">enorme </w:t>
      </w:r>
      <w:r w:rsidR="00523CEB">
        <w:t>a</w:t>
      </w:r>
      <w:r w:rsidR="000B2DEF">
        <w:t xml:space="preserve">créscimo </w:t>
      </w:r>
      <w:r w:rsidR="00523CEB">
        <w:t>anotado no mês de outubro, em razão da crise de abastecimento de água de Itu. Foram mais de 600 (seiscentas) reclamações somente relativas a esse tema.</w:t>
      </w:r>
    </w:p>
    <w:p w:rsidR="00263BF7" w:rsidRDefault="00263BF7" w:rsidP="00581447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263BF7" w:rsidRDefault="00263BF7" w:rsidP="00581447">
      <w:pPr>
        <w:ind w:firstLine="709"/>
        <w:jc w:val="both"/>
      </w:pPr>
      <w:r>
        <w:t>I – questões relat</w:t>
      </w:r>
      <w:r w:rsidR="00D45E05">
        <w:t>i</w:t>
      </w:r>
      <w:r w:rsidR="00254450">
        <w:t xml:space="preserve">vas </w:t>
      </w:r>
      <w:r w:rsidR="00523CEB">
        <w:t>ao patrimônio público</w:t>
      </w:r>
      <w:r w:rsidR="00254450">
        <w:t xml:space="preserve">– </w:t>
      </w:r>
      <w:r w:rsidR="00523CEB">
        <w:t>187</w:t>
      </w:r>
      <w:r>
        <w:t>;</w:t>
      </w:r>
    </w:p>
    <w:p w:rsidR="00263BF7" w:rsidRDefault="00263BF7" w:rsidP="00581447">
      <w:pPr>
        <w:ind w:firstLine="709"/>
        <w:jc w:val="both"/>
      </w:pPr>
      <w:r>
        <w:t xml:space="preserve">II – </w:t>
      </w:r>
      <w:r w:rsidR="00D45E05">
        <w:t>questões relat</w:t>
      </w:r>
      <w:r w:rsidR="005A01FE">
        <w:t>ivas</w:t>
      </w:r>
      <w:r w:rsidR="00523CEB" w:rsidRPr="00523CEB">
        <w:t xml:space="preserve"> </w:t>
      </w:r>
      <w:r w:rsidR="00523CEB">
        <w:t xml:space="preserve">às relações de consumo </w:t>
      </w:r>
      <w:r w:rsidR="005A01FE">
        <w:t xml:space="preserve">– </w:t>
      </w:r>
      <w:r w:rsidR="00523CEB">
        <w:t>185</w:t>
      </w:r>
      <w:r w:rsidR="00D45E05">
        <w:t>;</w:t>
      </w:r>
    </w:p>
    <w:p w:rsidR="00263BF7" w:rsidRDefault="00263BF7" w:rsidP="00581447">
      <w:pPr>
        <w:ind w:firstLine="709"/>
        <w:jc w:val="both"/>
      </w:pPr>
      <w:r>
        <w:t xml:space="preserve">III – </w:t>
      </w:r>
      <w:r w:rsidR="005A01FE">
        <w:t>questões relativas</w:t>
      </w:r>
      <w:r w:rsidR="000B2DEF" w:rsidRPr="000B2DEF">
        <w:t xml:space="preserve"> </w:t>
      </w:r>
      <w:r w:rsidR="000B2DEF">
        <w:t xml:space="preserve">à educação – </w:t>
      </w:r>
      <w:r w:rsidR="00523CEB">
        <w:t>123</w:t>
      </w:r>
      <w:r w:rsidR="00474EE9">
        <w:t>;</w:t>
      </w:r>
    </w:p>
    <w:p w:rsidR="00263BF7" w:rsidRDefault="00263BF7" w:rsidP="00581447">
      <w:pPr>
        <w:ind w:firstLine="709"/>
        <w:jc w:val="both"/>
      </w:pPr>
      <w:r>
        <w:t>IV –</w:t>
      </w:r>
      <w:r w:rsidR="005A01FE" w:rsidRPr="005A01FE">
        <w:t xml:space="preserve"> </w:t>
      </w:r>
      <w:r w:rsidR="0053156A">
        <w:t>questões relativas</w:t>
      </w:r>
      <w:r w:rsidR="0053156A" w:rsidRPr="00CE7A75">
        <w:t xml:space="preserve"> </w:t>
      </w:r>
      <w:r w:rsidR="0053156A">
        <w:t>ao meio ambiente – 116;</w:t>
      </w:r>
    </w:p>
    <w:p w:rsidR="00263BF7" w:rsidRDefault="00263BF7" w:rsidP="00581447">
      <w:pPr>
        <w:ind w:firstLine="709"/>
        <w:jc w:val="both"/>
      </w:pPr>
      <w:r>
        <w:t>V – questões</w:t>
      </w:r>
      <w:r w:rsidR="005A01FE">
        <w:t xml:space="preserve"> relativas </w:t>
      </w:r>
      <w:r w:rsidR="000B2DEF">
        <w:t>à habitação e urbanismo – 1</w:t>
      </w:r>
      <w:r w:rsidR="0053156A">
        <w:t>12</w:t>
      </w:r>
      <w:r>
        <w:t>; e</w:t>
      </w:r>
    </w:p>
    <w:p w:rsidR="00263BF7" w:rsidRDefault="00263BF7" w:rsidP="00581447">
      <w:pPr>
        <w:ind w:firstLine="709"/>
        <w:jc w:val="both"/>
      </w:pPr>
      <w:r>
        <w:t>VI –</w:t>
      </w:r>
      <w:r w:rsidR="00AF6BE9">
        <w:t xml:space="preserve"> </w:t>
      </w:r>
      <w:r w:rsidR="0053156A">
        <w:t>questões relativas à saúde pública – 106.</w:t>
      </w:r>
    </w:p>
    <w:p w:rsidR="005A01FE" w:rsidRDefault="00523CEB" w:rsidP="00581447">
      <w:pPr>
        <w:ind w:firstLine="709"/>
        <w:jc w:val="both"/>
      </w:pPr>
      <w:r>
        <w:t>Pela primeira vez</w:t>
      </w:r>
      <w:r w:rsidR="005A01FE">
        <w:t xml:space="preserve">, as demandas relativas </w:t>
      </w:r>
      <w:r>
        <w:t>ao Patrimônio Público</w:t>
      </w:r>
      <w:r w:rsidR="005A01FE">
        <w:t xml:space="preserve"> foram em maior número no trimestre</w:t>
      </w:r>
      <w:r>
        <w:t>, superando minimamente aquelas relativas às relações de consumo</w:t>
      </w:r>
      <w:r w:rsidR="005A01FE">
        <w:t>.</w:t>
      </w:r>
    </w:p>
    <w:p w:rsidR="00DE6BD3" w:rsidRDefault="00092E5E" w:rsidP="00581447">
      <w:pPr>
        <w:ind w:firstLine="709"/>
        <w:jc w:val="both"/>
      </w:pPr>
      <w:r>
        <w:t>Apesar de</w:t>
      </w:r>
      <w:r w:rsidR="00474EE9">
        <w:t xml:space="preserve"> constantes</w:t>
      </w:r>
      <w:r w:rsidR="00CE7A75">
        <w:t>,</w:t>
      </w:r>
      <w:r w:rsidR="00474EE9">
        <w:t xml:space="preserve"> </w:t>
      </w:r>
      <w:r w:rsidR="005A01FE">
        <w:t xml:space="preserve">as manifestações </w:t>
      </w:r>
      <w:r w:rsidR="00DE6BD3">
        <w:t>contrárias</w:t>
      </w:r>
      <w:r w:rsidR="005A01FE">
        <w:t xml:space="preserve"> ao</w:t>
      </w:r>
      <w:r w:rsidR="00A80103">
        <w:t>s</w:t>
      </w:r>
      <w:r w:rsidR="005A01FE">
        <w:t xml:space="preserve"> </w:t>
      </w:r>
      <w:r w:rsidR="00A80103">
        <w:t xml:space="preserve">chamados “bailes funk” e ao </w:t>
      </w:r>
      <w:r w:rsidR="005A01FE">
        <w:t>abuso</w:t>
      </w:r>
      <w:r w:rsidR="00A80103">
        <w:t xml:space="preserve"> na utilização de aparelhos sonoros</w:t>
      </w:r>
      <w:r>
        <w:t xml:space="preserve"> diminuíram neste trimestre em relação aos trimestres anteriores</w:t>
      </w:r>
      <w:r w:rsidR="00A80103">
        <w:t xml:space="preserve">. </w:t>
      </w:r>
      <w:r>
        <w:t>Como já afirmado anteriormente, a</w:t>
      </w:r>
      <w:r w:rsidR="00A80103">
        <w:t xml:space="preserve"> maior parte dessas manifestações é enviada à Promotoria de Habitação e Urbanismo, por envolver o uso indevido de ruas e praças.</w:t>
      </w:r>
    </w:p>
    <w:p w:rsidR="00A80103" w:rsidRDefault="00A80103" w:rsidP="00581447">
      <w:pPr>
        <w:ind w:firstLine="709"/>
        <w:jc w:val="both"/>
      </w:pPr>
      <w:r>
        <w:t xml:space="preserve">Aliás, </w:t>
      </w:r>
      <w:r w:rsidR="00474EE9">
        <w:t>como temos sempre ressaltado é preciso</w:t>
      </w:r>
      <w:r>
        <w:t xml:space="preserve"> que o Ministério Público encontre um caminho, senão para solucionar, pelo menos para minimizar os problemas causados pelos “bailes funk”. Ruas são fechadas pelos participantes, sem qualquer controle pela municipalidade, o uso de entorpecentes e a prática de sexo em público, </w:t>
      </w:r>
      <w:r w:rsidR="00DE6BD3">
        <w:t xml:space="preserve">inclusive com a </w:t>
      </w:r>
      <w:r w:rsidR="00895FA1">
        <w:t>presença</w:t>
      </w:r>
      <w:r w:rsidR="00DE6BD3">
        <w:t xml:space="preserve"> de adolescentes, </w:t>
      </w:r>
      <w:r w:rsidR="00895FA1">
        <w:t>são recorrentes e incentivada</w:t>
      </w:r>
      <w:r>
        <w:t>s pelas letras das m</w:t>
      </w:r>
      <w:r w:rsidR="00895FA1">
        <w:t>úsicas</w:t>
      </w:r>
      <w:r>
        <w:t>.</w:t>
      </w:r>
    </w:p>
    <w:p w:rsidR="00A80103" w:rsidRDefault="00DE6BD3" w:rsidP="00581447">
      <w:pPr>
        <w:ind w:firstLine="709"/>
        <w:jc w:val="both"/>
      </w:pPr>
      <w:r>
        <w:t>Como isso ocorre nos bairros periféricos, habitados por pessoas que gastam tempo enorme para se dirigirem a seus locais de trabalho, veem-se elas sem condições de terem o repouso a quem têm direito em seus finais de semana. O direito que t</w:t>
      </w:r>
      <w:r w:rsidR="00895FA1">
        <w:t>êm alguns de fazer</w:t>
      </w:r>
      <w:r>
        <w:t xml:space="preserve"> suas “manifestações culturais”, como dizem uns, não pode impedir e até elimina</w:t>
      </w:r>
      <w:r w:rsidR="00CE7A75">
        <w:t>r o direito da grande maioria das</w:t>
      </w:r>
      <w:r>
        <w:t xml:space="preserve"> pessoas de descansar e se refazer para poder enfrentar nova semana de trabalho.</w:t>
      </w:r>
    </w:p>
    <w:p w:rsidR="008D6514" w:rsidRDefault="00656F79" w:rsidP="00581447">
      <w:pPr>
        <w:ind w:firstLine="709"/>
        <w:jc w:val="both"/>
      </w:pPr>
      <w:r>
        <w:t>Note-se que o CAO Criminal emitiu Nota Técnica a respeito do tema, podendo-se destacar que:</w:t>
      </w:r>
    </w:p>
    <w:p w:rsidR="00656F79" w:rsidRPr="00A26AC3" w:rsidRDefault="00656F79" w:rsidP="00656F79">
      <w:pPr>
        <w:ind w:firstLine="709"/>
        <w:jc w:val="both"/>
        <w:rPr>
          <w:rFonts w:asciiTheme="minorHAnsi" w:hAnsiTheme="minorHAnsi" w:cstheme="minorHAnsi"/>
          <w:szCs w:val="24"/>
        </w:rPr>
      </w:pPr>
      <w:r w:rsidRPr="00A26AC3">
        <w:rPr>
          <w:rFonts w:asciiTheme="minorHAnsi" w:hAnsiTheme="minorHAnsi" w:cstheme="minorHAnsi"/>
          <w:szCs w:val="24"/>
        </w:rPr>
        <w:t xml:space="preserve">“Com efeito, a </w:t>
      </w:r>
      <w:r w:rsidRPr="00A26AC3">
        <w:rPr>
          <w:rFonts w:asciiTheme="minorHAnsi" w:hAnsiTheme="minorHAnsi" w:cstheme="minorHAnsi"/>
        </w:rPr>
        <w:t>poluição</w:t>
      </w:r>
      <w:r w:rsidRPr="00A26AC3">
        <w:rPr>
          <w:rFonts w:asciiTheme="minorHAnsi" w:hAnsiTheme="minorHAnsi" w:cstheme="minorHAnsi"/>
          <w:szCs w:val="24"/>
        </w:rPr>
        <w:t xml:space="preserve"> sonora causada</w:t>
      </w:r>
      <w:r w:rsidR="00A26AC3">
        <w:rPr>
          <w:rFonts w:asciiTheme="minorHAnsi" w:hAnsiTheme="minorHAnsi" w:cstheme="minorHAnsi"/>
          <w:szCs w:val="24"/>
        </w:rPr>
        <w:t xml:space="preserve"> e provocada pelos denominados ‘</w:t>
      </w:r>
      <w:r w:rsidRPr="00A26AC3">
        <w:rPr>
          <w:rFonts w:asciiTheme="minorHAnsi" w:hAnsiTheme="minorHAnsi" w:cstheme="minorHAnsi"/>
          <w:szCs w:val="24"/>
        </w:rPr>
        <w:t>bailes funk</w:t>
      </w:r>
      <w:r w:rsidR="00A26AC3">
        <w:rPr>
          <w:rFonts w:asciiTheme="minorHAnsi" w:hAnsiTheme="minorHAnsi" w:cstheme="minorHAnsi"/>
          <w:szCs w:val="24"/>
        </w:rPr>
        <w:t>’</w:t>
      </w:r>
      <w:r w:rsidRPr="00A26AC3">
        <w:rPr>
          <w:rFonts w:asciiTheme="minorHAnsi" w:hAnsiTheme="minorHAnsi" w:cstheme="minorHAnsi"/>
          <w:szCs w:val="24"/>
        </w:rPr>
        <w:t xml:space="preserve">, para fins penais, não se justapõe à contravenção penal de perturbação do trabalho ou do sossego alheios, insculpida no art. 42 da Lei de Contravenções Penais, uma vez que, como é cediço, a contravenção penal </w:t>
      </w:r>
      <w:r w:rsidRPr="00A26AC3">
        <w:rPr>
          <w:rFonts w:asciiTheme="minorHAnsi" w:hAnsiTheme="minorHAnsi" w:cstheme="minorHAnsi"/>
          <w:i/>
          <w:szCs w:val="24"/>
        </w:rPr>
        <w:t>sub examine</w:t>
      </w:r>
      <w:r w:rsidRPr="00A26AC3">
        <w:rPr>
          <w:rFonts w:asciiTheme="minorHAnsi" w:hAnsiTheme="minorHAnsi" w:cstheme="minorHAnsi"/>
          <w:szCs w:val="24"/>
        </w:rPr>
        <w:t xml:space="preserve"> tem por objetividade jurídica a tutela da paz pública, e não o meio ambiente.</w:t>
      </w:r>
    </w:p>
    <w:p w:rsidR="00A26AC3" w:rsidRDefault="00656F79" w:rsidP="00656F79">
      <w:pPr>
        <w:ind w:firstLine="709"/>
        <w:jc w:val="both"/>
        <w:rPr>
          <w:rFonts w:asciiTheme="minorHAnsi" w:hAnsiTheme="minorHAnsi" w:cstheme="minorHAnsi"/>
          <w:szCs w:val="24"/>
        </w:rPr>
      </w:pPr>
      <w:r w:rsidRPr="00A26AC3">
        <w:rPr>
          <w:rFonts w:asciiTheme="minorHAnsi" w:hAnsiTheme="minorHAnsi" w:cstheme="minorHAnsi"/>
          <w:szCs w:val="24"/>
        </w:rPr>
        <w:t xml:space="preserve">Nessa linha de </w:t>
      </w:r>
      <w:r w:rsidRPr="00A26AC3">
        <w:rPr>
          <w:rFonts w:asciiTheme="minorHAnsi" w:hAnsiTheme="minorHAnsi" w:cstheme="minorHAnsi"/>
        </w:rPr>
        <w:t>intelecção</w:t>
      </w:r>
      <w:r w:rsidRPr="00A26AC3">
        <w:rPr>
          <w:rFonts w:asciiTheme="minorHAnsi" w:hAnsiTheme="minorHAnsi" w:cstheme="minorHAnsi"/>
          <w:szCs w:val="24"/>
        </w:rPr>
        <w:t xml:space="preserve">, não se pode aceitar que os todos os malefícios originados e causados pelos denominados </w:t>
      </w:r>
      <w:r w:rsidR="00A26AC3">
        <w:rPr>
          <w:rFonts w:asciiTheme="minorHAnsi" w:hAnsiTheme="minorHAnsi" w:cstheme="minorHAnsi"/>
          <w:szCs w:val="24"/>
        </w:rPr>
        <w:t>‘</w:t>
      </w:r>
      <w:r w:rsidRPr="00A26AC3">
        <w:rPr>
          <w:rFonts w:asciiTheme="minorHAnsi" w:hAnsiTheme="minorHAnsi" w:cstheme="minorHAnsi"/>
          <w:szCs w:val="24"/>
        </w:rPr>
        <w:t>bailes funk</w:t>
      </w:r>
      <w:r w:rsidR="00A26AC3">
        <w:rPr>
          <w:rFonts w:asciiTheme="minorHAnsi" w:hAnsiTheme="minorHAnsi" w:cstheme="minorHAnsi"/>
          <w:szCs w:val="24"/>
        </w:rPr>
        <w:t>’</w:t>
      </w:r>
      <w:r w:rsidRPr="00A26AC3">
        <w:rPr>
          <w:rFonts w:asciiTheme="minorHAnsi" w:hAnsiTheme="minorHAnsi" w:cstheme="minorHAnsi"/>
          <w:szCs w:val="24"/>
        </w:rPr>
        <w:t xml:space="preserve"> violem o mesmo bem jurídico tutelado pelas </w:t>
      </w:r>
      <w:r w:rsidRPr="00A26AC3">
        <w:rPr>
          <w:rFonts w:asciiTheme="minorHAnsi" w:hAnsiTheme="minorHAnsi" w:cstheme="minorHAnsi"/>
          <w:szCs w:val="24"/>
        </w:rPr>
        <w:lastRenderedPageBreak/>
        <w:t>contravenções penais de associação secreta (art. 39, LCP), provocação de tumulto, conduta inconveniente (art. 40, LCP), e falso alarma (art. 41, LCP), todas previstas no mesmo Capítulo IV da Lei de Contravenções Penais que protege, como já destacado, a paz pública”.</w:t>
      </w:r>
    </w:p>
    <w:p w:rsidR="00656F79" w:rsidRDefault="00656F79" w:rsidP="00656F79">
      <w:pPr>
        <w:ind w:firstLine="709"/>
        <w:jc w:val="both"/>
        <w:rPr>
          <w:rFonts w:asciiTheme="minorHAnsi" w:hAnsiTheme="minorHAnsi" w:cstheme="minorHAnsi"/>
          <w:szCs w:val="24"/>
        </w:rPr>
      </w:pPr>
      <w:r w:rsidRPr="00A26AC3">
        <w:rPr>
          <w:rFonts w:asciiTheme="minorHAnsi" w:hAnsiTheme="minorHAnsi" w:cstheme="minorHAnsi"/>
          <w:szCs w:val="24"/>
        </w:rPr>
        <w:t xml:space="preserve"> </w:t>
      </w:r>
      <w:r w:rsidR="00A26AC3">
        <w:rPr>
          <w:rFonts w:asciiTheme="minorHAnsi" w:hAnsiTheme="minorHAnsi" w:cstheme="minorHAnsi"/>
          <w:szCs w:val="24"/>
        </w:rPr>
        <w:t>Daí a Ouvidoria do Ministério Público do Estado de São Paulo entende</w:t>
      </w:r>
      <w:r w:rsidR="002359CE">
        <w:rPr>
          <w:rFonts w:asciiTheme="minorHAnsi" w:hAnsiTheme="minorHAnsi" w:cstheme="minorHAnsi"/>
          <w:szCs w:val="24"/>
        </w:rPr>
        <w:t>r</w:t>
      </w:r>
      <w:r w:rsidR="00A26AC3">
        <w:rPr>
          <w:rFonts w:asciiTheme="minorHAnsi" w:hAnsiTheme="minorHAnsi" w:cstheme="minorHAnsi"/>
          <w:szCs w:val="24"/>
        </w:rPr>
        <w:t xml:space="preserve"> que o assunto deve ser tratado com maior ênfase pela Instituição, com a convergência de esforços dos órgãos de execução – cíveis e criminais – para que </w:t>
      </w:r>
      <w:r w:rsidR="002359CE">
        <w:rPr>
          <w:rFonts w:asciiTheme="minorHAnsi" w:hAnsiTheme="minorHAnsi" w:cstheme="minorHAnsi"/>
          <w:szCs w:val="24"/>
        </w:rPr>
        <w:t>esse</w:t>
      </w:r>
      <w:bookmarkStart w:id="0" w:name="_GoBack"/>
      <w:bookmarkEnd w:id="0"/>
      <w:r w:rsidR="00A26AC3">
        <w:rPr>
          <w:rFonts w:asciiTheme="minorHAnsi" w:hAnsiTheme="minorHAnsi" w:cstheme="minorHAnsi"/>
          <w:szCs w:val="24"/>
        </w:rPr>
        <w:t xml:space="preserve"> problema, ao menos, seja minimizado.</w:t>
      </w:r>
    </w:p>
    <w:p w:rsidR="00581447" w:rsidRDefault="00B27FC0" w:rsidP="00581447">
      <w:pPr>
        <w:ind w:firstLine="709"/>
        <w:jc w:val="both"/>
      </w:pPr>
      <w:r>
        <w:t xml:space="preserve">Estes os aspectos mais relevantes da atuação da Ouvidoria do Ministério Público do Estado de São Paulo neste </w:t>
      </w:r>
      <w:r w:rsidR="0053156A">
        <w:t>quarto</w:t>
      </w:r>
      <w:r w:rsidR="00DE6BD3">
        <w:t xml:space="preserve"> trimestre de 2.014</w:t>
      </w:r>
      <w:r>
        <w:t>.</w:t>
      </w: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2C" w:rsidRDefault="00405E2C" w:rsidP="0080377D">
      <w:pPr>
        <w:spacing w:after="0" w:line="240" w:lineRule="auto"/>
      </w:pPr>
      <w:r>
        <w:separator/>
      </w:r>
    </w:p>
  </w:endnote>
  <w:endnote w:type="continuationSeparator" w:id="0">
    <w:p w:rsidR="00405E2C" w:rsidRDefault="00405E2C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E95AEB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AF6BE9">
      <w:rPr>
        <w:noProof/>
      </w:rPr>
      <w:t>5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2C" w:rsidRDefault="00405E2C" w:rsidP="0080377D">
      <w:pPr>
        <w:spacing w:after="0" w:line="240" w:lineRule="auto"/>
      </w:pPr>
      <w:r>
        <w:separator/>
      </w:r>
    </w:p>
  </w:footnote>
  <w:footnote w:type="continuationSeparator" w:id="0">
    <w:p w:rsidR="00405E2C" w:rsidRDefault="00405E2C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76A"/>
    <w:rsid w:val="0001698F"/>
    <w:rsid w:val="0002107A"/>
    <w:rsid w:val="00022FB6"/>
    <w:rsid w:val="00027910"/>
    <w:rsid w:val="00030594"/>
    <w:rsid w:val="0005423C"/>
    <w:rsid w:val="000605FD"/>
    <w:rsid w:val="000671B9"/>
    <w:rsid w:val="000744FC"/>
    <w:rsid w:val="00076904"/>
    <w:rsid w:val="000830B8"/>
    <w:rsid w:val="00085B83"/>
    <w:rsid w:val="00092E5E"/>
    <w:rsid w:val="000A129C"/>
    <w:rsid w:val="000A2BB2"/>
    <w:rsid w:val="000B23A0"/>
    <w:rsid w:val="000B2DEF"/>
    <w:rsid w:val="000B32AB"/>
    <w:rsid w:val="000B7B58"/>
    <w:rsid w:val="000C12FA"/>
    <w:rsid w:val="000C28E4"/>
    <w:rsid w:val="000C7E28"/>
    <w:rsid w:val="000E5F22"/>
    <w:rsid w:val="000F030D"/>
    <w:rsid w:val="001041D4"/>
    <w:rsid w:val="00111CC1"/>
    <w:rsid w:val="00116EC3"/>
    <w:rsid w:val="00131766"/>
    <w:rsid w:val="00136B17"/>
    <w:rsid w:val="0014161E"/>
    <w:rsid w:val="00142ADA"/>
    <w:rsid w:val="00160DFA"/>
    <w:rsid w:val="00191691"/>
    <w:rsid w:val="001A6892"/>
    <w:rsid w:val="001C5A10"/>
    <w:rsid w:val="001D02D6"/>
    <w:rsid w:val="001D42D7"/>
    <w:rsid w:val="001F19F3"/>
    <w:rsid w:val="001F1C0D"/>
    <w:rsid w:val="002071F7"/>
    <w:rsid w:val="0022757E"/>
    <w:rsid w:val="002359CE"/>
    <w:rsid w:val="00254450"/>
    <w:rsid w:val="002578DB"/>
    <w:rsid w:val="00263BF7"/>
    <w:rsid w:val="00265331"/>
    <w:rsid w:val="00266A00"/>
    <w:rsid w:val="00270F6C"/>
    <w:rsid w:val="00271616"/>
    <w:rsid w:val="00273EF1"/>
    <w:rsid w:val="00280B0E"/>
    <w:rsid w:val="00283F3C"/>
    <w:rsid w:val="002877E2"/>
    <w:rsid w:val="002912D1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30636"/>
    <w:rsid w:val="003410E5"/>
    <w:rsid w:val="00341395"/>
    <w:rsid w:val="00342774"/>
    <w:rsid w:val="00343CA4"/>
    <w:rsid w:val="0034580D"/>
    <w:rsid w:val="00347FF5"/>
    <w:rsid w:val="0035713D"/>
    <w:rsid w:val="0036073B"/>
    <w:rsid w:val="00367B6E"/>
    <w:rsid w:val="00367EC3"/>
    <w:rsid w:val="00371EE2"/>
    <w:rsid w:val="003906D3"/>
    <w:rsid w:val="003A2DC6"/>
    <w:rsid w:val="003B116E"/>
    <w:rsid w:val="003B2E59"/>
    <w:rsid w:val="003C257A"/>
    <w:rsid w:val="003C7BBE"/>
    <w:rsid w:val="003D0737"/>
    <w:rsid w:val="003D40BA"/>
    <w:rsid w:val="003E49B1"/>
    <w:rsid w:val="00400EA0"/>
    <w:rsid w:val="0040443F"/>
    <w:rsid w:val="00405E2C"/>
    <w:rsid w:val="0041740D"/>
    <w:rsid w:val="00420F59"/>
    <w:rsid w:val="00432C80"/>
    <w:rsid w:val="00434155"/>
    <w:rsid w:val="00435CC5"/>
    <w:rsid w:val="004409AB"/>
    <w:rsid w:val="00464E85"/>
    <w:rsid w:val="00465AF3"/>
    <w:rsid w:val="0047051B"/>
    <w:rsid w:val="00474EE9"/>
    <w:rsid w:val="004902D1"/>
    <w:rsid w:val="004947AE"/>
    <w:rsid w:val="00496613"/>
    <w:rsid w:val="00503B1D"/>
    <w:rsid w:val="005112D2"/>
    <w:rsid w:val="005215D4"/>
    <w:rsid w:val="00523CEB"/>
    <w:rsid w:val="00524B2B"/>
    <w:rsid w:val="005306BB"/>
    <w:rsid w:val="0053156A"/>
    <w:rsid w:val="0054379A"/>
    <w:rsid w:val="005607D5"/>
    <w:rsid w:val="00562D2F"/>
    <w:rsid w:val="005702A7"/>
    <w:rsid w:val="005742BA"/>
    <w:rsid w:val="00581447"/>
    <w:rsid w:val="00586D61"/>
    <w:rsid w:val="00587FE0"/>
    <w:rsid w:val="00593298"/>
    <w:rsid w:val="005A01FE"/>
    <w:rsid w:val="005A11B2"/>
    <w:rsid w:val="005A7EFB"/>
    <w:rsid w:val="005C1571"/>
    <w:rsid w:val="005C6141"/>
    <w:rsid w:val="005D04C5"/>
    <w:rsid w:val="005D4C6A"/>
    <w:rsid w:val="005D5B6A"/>
    <w:rsid w:val="005E4E1E"/>
    <w:rsid w:val="005F1283"/>
    <w:rsid w:val="00602EEC"/>
    <w:rsid w:val="00605CBC"/>
    <w:rsid w:val="006120AC"/>
    <w:rsid w:val="0062354B"/>
    <w:rsid w:val="00625CCB"/>
    <w:rsid w:val="00630957"/>
    <w:rsid w:val="00633219"/>
    <w:rsid w:val="0063706E"/>
    <w:rsid w:val="00641E58"/>
    <w:rsid w:val="00656F79"/>
    <w:rsid w:val="006646B3"/>
    <w:rsid w:val="00664B87"/>
    <w:rsid w:val="00670699"/>
    <w:rsid w:val="0067531F"/>
    <w:rsid w:val="00677724"/>
    <w:rsid w:val="006865FB"/>
    <w:rsid w:val="006A4604"/>
    <w:rsid w:val="006C0BEF"/>
    <w:rsid w:val="006C0F6F"/>
    <w:rsid w:val="006C35C0"/>
    <w:rsid w:val="006C5C79"/>
    <w:rsid w:val="006C6A81"/>
    <w:rsid w:val="006D74C9"/>
    <w:rsid w:val="006E46A9"/>
    <w:rsid w:val="006E6DF1"/>
    <w:rsid w:val="007154CB"/>
    <w:rsid w:val="00715B25"/>
    <w:rsid w:val="00715B68"/>
    <w:rsid w:val="00725B1A"/>
    <w:rsid w:val="00726D8E"/>
    <w:rsid w:val="007273A2"/>
    <w:rsid w:val="00727E43"/>
    <w:rsid w:val="007331D4"/>
    <w:rsid w:val="00736E34"/>
    <w:rsid w:val="00737A3E"/>
    <w:rsid w:val="007406B8"/>
    <w:rsid w:val="007416F4"/>
    <w:rsid w:val="00741B81"/>
    <w:rsid w:val="007460BE"/>
    <w:rsid w:val="00761F22"/>
    <w:rsid w:val="00762792"/>
    <w:rsid w:val="00766328"/>
    <w:rsid w:val="00773C65"/>
    <w:rsid w:val="0077664E"/>
    <w:rsid w:val="007833FF"/>
    <w:rsid w:val="007A3DDB"/>
    <w:rsid w:val="007B178E"/>
    <w:rsid w:val="007B2891"/>
    <w:rsid w:val="007B3F77"/>
    <w:rsid w:val="007B433F"/>
    <w:rsid w:val="007B5B30"/>
    <w:rsid w:val="007C7EEB"/>
    <w:rsid w:val="007D3755"/>
    <w:rsid w:val="007D5F91"/>
    <w:rsid w:val="007E478C"/>
    <w:rsid w:val="007F36C4"/>
    <w:rsid w:val="0080377D"/>
    <w:rsid w:val="0081492B"/>
    <w:rsid w:val="00820723"/>
    <w:rsid w:val="00822256"/>
    <w:rsid w:val="00832810"/>
    <w:rsid w:val="00832E00"/>
    <w:rsid w:val="008340B6"/>
    <w:rsid w:val="00840969"/>
    <w:rsid w:val="00846FB0"/>
    <w:rsid w:val="00857BB9"/>
    <w:rsid w:val="008600D5"/>
    <w:rsid w:val="00860F42"/>
    <w:rsid w:val="008610C2"/>
    <w:rsid w:val="0086546F"/>
    <w:rsid w:val="008737A0"/>
    <w:rsid w:val="00877F1B"/>
    <w:rsid w:val="00892A38"/>
    <w:rsid w:val="00895FA1"/>
    <w:rsid w:val="0089745A"/>
    <w:rsid w:val="008A690F"/>
    <w:rsid w:val="008B0847"/>
    <w:rsid w:val="008B5020"/>
    <w:rsid w:val="008C2928"/>
    <w:rsid w:val="008D3FEA"/>
    <w:rsid w:val="008D5443"/>
    <w:rsid w:val="008D6514"/>
    <w:rsid w:val="008E30BF"/>
    <w:rsid w:val="00901CA5"/>
    <w:rsid w:val="0090491F"/>
    <w:rsid w:val="00922FCF"/>
    <w:rsid w:val="00931D9B"/>
    <w:rsid w:val="00943512"/>
    <w:rsid w:val="00962D64"/>
    <w:rsid w:val="00967574"/>
    <w:rsid w:val="0097289D"/>
    <w:rsid w:val="00976069"/>
    <w:rsid w:val="00985907"/>
    <w:rsid w:val="0099069C"/>
    <w:rsid w:val="009A0D1A"/>
    <w:rsid w:val="009B4C39"/>
    <w:rsid w:val="009B6F54"/>
    <w:rsid w:val="009B7DF5"/>
    <w:rsid w:val="009C5DD1"/>
    <w:rsid w:val="009F09FD"/>
    <w:rsid w:val="009F1EE4"/>
    <w:rsid w:val="00A01D8C"/>
    <w:rsid w:val="00A21390"/>
    <w:rsid w:val="00A21B52"/>
    <w:rsid w:val="00A26AC3"/>
    <w:rsid w:val="00A304D5"/>
    <w:rsid w:val="00A338F3"/>
    <w:rsid w:val="00A35589"/>
    <w:rsid w:val="00A366BA"/>
    <w:rsid w:val="00A60655"/>
    <w:rsid w:val="00A65999"/>
    <w:rsid w:val="00A66324"/>
    <w:rsid w:val="00A80103"/>
    <w:rsid w:val="00AD203A"/>
    <w:rsid w:val="00AD4639"/>
    <w:rsid w:val="00AD5F13"/>
    <w:rsid w:val="00AD7EA5"/>
    <w:rsid w:val="00AE3E4C"/>
    <w:rsid w:val="00AF6BE9"/>
    <w:rsid w:val="00AF7094"/>
    <w:rsid w:val="00AF77E6"/>
    <w:rsid w:val="00B0220B"/>
    <w:rsid w:val="00B12B38"/>
    <w:rsid w:val="00B161A3"/>
    <w:rsid w:val="00B27FC0"/>
    <w:rsid w:val="00B36C67"/>
    <w:rsid w:val="00B373D0"/>
    <w:rsid w:val="00B376FB"/>
    <w:rsid w:val="00B573E4"/>
    <w:rsid w:val="00B65501"/>
    <w:rsid w:val="00B66E8B"/>
    <w:rsid w:val="00B76F9F"/>
    <w:rsid w:val="00B8460E"/>
    <w:rsid w:val="00B84DFB"/>
    <w:rsid w:val="00B9134B"/>
    <w:rsid w:val="00BC1F54"/>
    <w:rsid w:val="00BD3AA1"/>
    <w:rsid w:val="00BD52D5"/>
    <w:rsid w:val="00BE024F"/>
    <w:rsid w:val="00BE34E7"/>
    <w:rsid w:val="00BF60F2"/>
    <w:rsid w:val="00BF6918"/>
    <w:rsid w:val="00BF6AD3"/>
    <w:rsid w:val="00C04923"/>
    <w:rsid w:val="00C10AF5"/>
    <w:rsid w:val="00C14463"/>
    <w:rsid w:val="00C16B4F"/>
    <w:rsid w:val="00C307FC"/>
    <w:rsid w:val="00C37874"/>
    <w:rsid w:val="00C41597"/>
    <w:rsid w:val="00C42D7D"/>
    <w:rsid w:val="00C53526"/>
    <w:rsid w:val="00C60759"/>
    <w:rsid w:val="00C733D3"/>
    <w:rsid w:val="00C928EA"/>
    <w:rsid w:val="00C93392"/>
    <w:rsid w:val="00CA3BF3"/>
    <w:rsid w:val="00CA589B"/>
    <w:rsid w:val="00CB70CD"/>
    <w:rsid w:val="00CD3313"/>
    <w:rsid w:val="00CD7A90"/>
    <w:rsid w:val="00CD7C74"/>
    <w:rsid w:val="00CE71F8"/>
    <w:rsid w:val="00CE7A75"/>
    <w:rsid w:val="00D017AA"/>
    <w:rsid w:val="00D06AAD"/>
    <w:rsid w:val="00D2106A"/>
    <w:rsid w:val="00D22054"/>
    <w:rsid w:val="00D25BE1"/>
    <w:rsid w:val="00D279D2"/>
    <w:rsid w:val="00D43645"/>
    <w:rsid w:val="00D44E20"/>
    <w:rsid w:val="00D45E05"/>
    <w:rsid w:val="00D51AAE"/>
    <w:rsid w:val="00D51E25"/>
    <w:rsid w:val="00D57AAF"/>
    <w:rsid w:val="00D70A5D"/>
    <w:rsid w:val="00D70DB9"/>
    <w:rsid w:val="00D778E3"/>
    <w:rsid w:val="00D872F1"/>
    <w:rsid w:val="00D92DCD"/>
    <w:rsid w:val="00DA25F9"/>
    <w:rsid w:val="00DC03AE"/>
    <w:rsid w:val="00DD02BF"/>
    <w:rsid w:val="00DD4B05"/>
    <w:rsid w:val="00DD5C30"/>
    <w:rsid w:val="00DE0EB5"/>
    <w:rsid w:val="00DE6BD3"/>
    <w:rsid w:val="00DF1F38"/>
    <w:rsid w:val="00DF73EC"/>
    <w:rsid w:val="00E05F66"/>
    <w:rsid w:val="00E05FED"/>
    <w:rsid w:val="00E161D4"/>
    <w:rsid w:val="00E20BB9"/>
    <w:rsid w:val="00E247DC"/>
    <w:rsid w:val="00E35A47"/>
    <w:rsid w:val="00E35A75"/>
    <w:rsid w:val="00E401F5"/>
    <w:rsid w:val="00E43633"/>
    <w:rsid w:val="00E46FF4"/>
    <w:rsid w:val="00E55079"/>
    <w:rsid w:val="00E6011C"/>
    <w:rsid w:val="00E65AFD"/>
    <w:rsid w:val="00E75EE8"/>
    <w:rsid w:val="00E761A0"/>
    <w:rsid w:val="00E8005C"/>
    <w:rsid w:val="00E841DA"/>
    <w:rsid w:val="00E95AEB"/>
    <w:rsid w:val="00EA70E8"/>
    <w:rsid w:val="00ED217F"/>
    <w:rsid w:val="00ED535F"/>
    <w:rsid w:val="00ED638C"/>
    <w:rsid w:val="00EF0761"/>
    <w:rsid w:val="00EF2E2E"/>
    <w:rsid w:val="00EF6935"/>
    <w:rsid w:val="00F06532"/>
    <w:rsid w:val="00F1033B"/>
    <w:rsid w:val="00F12A71"/>
    <w:rsid w:val="00F13668"/>
    <w:rsid w:val="00F20059"/>
    <w:rsid w:val="00F277C4"/>
    <w:rsid w:val="00F36829"/>
    <w:rsid w:val="00F71D49"/>
    <w:rsid w:val="00F73BBC"/>
    <w:rsid w:val="00F811B2"/>
    <w:rsid w:val="00F83B2A"/>
    <w:rsid w:val="00F87E5D"/>
    <w:rsid w:val="00FB1220"/>
    <w:rsid w:val="00FB4760"/>
    <w:rsid w:val="00FB50C0"/>
    <w:rsid w:val="00FC06DE"/>
    <w:rsid w:val="00FC13DA"/>
    <w:rsid w:val="00FC7028"/>
    <w:rsid w:val="00FD5909"/>
    <w:rsid w:val="00FE04CB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C000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FFFF00"/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Plan1!$A$2:$A$9</c:f>
              <c:strCache>
                <c:ptCount val="8"/>
                <c:pt idx="0">
                  <c:v>Apreciações e comentários</c:v>
                </c:pt>
                <c:pt idx="1">
                  <c:v>Críticas</c:v>
                </c:pt>
                <c:pt idx="2">
                  <c:v>Denúncias</c:v>
                </c:pt>
                <c:pt idx="3">
                  <c:v>Elogios</c:v>
                </c:pt>
                <c:pt idx="4">
                  <c:v>Pedidos de informação</c:v>
                </c:pt>
                <c:pt idx="5">
                  <c:v>Reclamações</c:v>
                </c:pt>
                <c:pt idx="6">
                  <c:v>Sugestões</c:v>
                </c:pt>
                <c:pt idx="7">
                  <c:v>Diversos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49</c:v>
                </c:pt>
                <c:pt idx="1">
                  <c:v>2</c:v>
                </c:pt>
                <c:pt idx="2">
                  <c:v>997</c:v>
                </c:pt>
                <c:pt idx="3">
                  <c:v>6</c:v>
                </c:pt>
                <c:pt idx="4" formatCode="#,##0">
                  <c:v>1337</c:v>
                </c:pt>
                <c:pt idx="5" formatCode="#,##0">
                  <c:v>1457</c:v>
                </c:pt>
                <c:pt idx="6">
                  <c:v>12</c:v>
                </c:pt>
                <c:pt idx="7">
                  <c:v>191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3.196</a:t>
                    </a: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 formatCode="#,##0">
                  <c:v>3186</c:v>
                </c:pt>
                <c:pt idx="1">
                  <c:v>779</c:v>
                </c:pt>
                <c:pt idx="2">
                  <c:v>54</c:v>
                </c:pt>
                <c:pt idx="3">
                  <c:v>22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>
                  <c:v>1102</c:v>
                </c:pt>
                <c:pt idx="8">
                  <c:v>1183</c:v>
                </c:pt>
                <c:pt idx="9">
                  <c:v>912</c:v>
                </c:pt>
                <c:pt idx="10">
                  <c:v>1166</c:v>
                </c:pt>
                <c:pt idx="11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General</c:formatCode>
                <c:ptCount val="12"/>
                <c:pt idx="0" formatCode="#,##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General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  <c:pt idx="3">
                  <c:v>1377</c:v>
                </c:pt>
                <c:pt idx="4">
                  <c:v>1072</c:v>
                </c:pt>
                <c:pt idx="5">
                  <c:v>1221</c:v>
                </c:pt>
                <c:pt idx="6">
                  <c:v>1288</c:v>
                </c:pt>
                <c:pt idx="7">
                  <c:v>1509</c:v>
                </c:pt>
                <c:pt idx="8">
                  <c:v>1669</c:v>
                </c:pt>
                <c:pt idx="9">
                  <c:v>1524</c:v>
                </c:pt>
                <c:pt idx="10">
                  <c:v>1276</c:v>
                </c:pt>
                <c:pt idx="11">
                  <c:v>1062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2.014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Plan1!$E$2:$E$13</c:f>
              <c:numCache>
                <c:formatCode>General</c:formatCode>
                <c:ptCount val="12"/>
                <c:pt idx="0">
                  <c:v>1634</c:v>
                </c:pt>
                <c:pt idx="1">
                  <c:v>1552</c:v>
                </c:pt>
                <c:pt idx="2">
                  <c:v>1293</c:v>
                </c:pt>
                <c:pt idx="3">
                  <c:v>1583</c:v>
                </c:pt>
                <c:pt idx="4">
                  <c:v>1380</c:v>
                </c:pt>
                <c:pt idx="5">
                  <c:v>1060</c:v>
                </c:pt>
                <c:pt idx="6">
                  <c:v>1191</c:v>
                </c:pt>
                <c:pt idx="7">
                  <c:v>1178</c:v>
                </c:pt>
                <c:pt idx="8">
                  <c:v>1405</c:v>
                </c:pt>
                <c:pt idx="9">
                  <c:v>2023</c:v>
                </c:pt>
                <c:pt idx="10">
                  <c:v>1123</c:v>
                </c:pt>
                <c:pt idx="11">
                  <c:v>905</c:v>
                </c:pt>
              </c:numCache>
            </c:numRef>
          </c:val>
        </c:ser>
        <c:axId val="89957888"/>
        <c:axId val="90018944"/>
      </c:barChart>
      <c:catAx>
        <c:axId val="89957888"/>
        <c:scaling>
          <c:orientation val="minMax"/>
        </c:scaling>
        <c:axPos val="b"/>
        <c:tickLblPos val="nextTo"/>
        <c:crossAx val="90018944"/>
        <c:crosses val="autoZero"/>
        <c:auto val="1"/>
        <c:lblAlgn val="ctr"/>
        <c:lblOffset val="100"/>
      </c:catAx>
      <c:valAx>
        <c:axId val="90018944"/>
        <c:scaling>
          <c:orientation val="minMax"/>
        </c:scaling>
        <c:axPos val="l"/>
        <c:majorGridlines/>
        <c:numFmt formatCode="General" sourceLinked="1"/>
        <c:tickLblPos val="nextTo"/>
        <c:crossAx val="899578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B6FD-A053-4816-99CA-C6428316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2014-04-04T15:04:00Z</cp:lastPrinted>
  <dcterms:created xsi:type="dcterms:W3CDTF">2015-01-20T14:25:00Z</dcterms:created>
  <dcterms:modified xsi:type="dcterms:W3CDTF">2015-01-20T14:25:00Z</dcterms:modified>
</cp:coreProperties>
</file>