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CD7C74">
        <w:rPr>
          <w:sz w:val="32"/>
          <w:szCs w:val="32"/>
        </w:rPr>
        <w:t>1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CD7C74">
        <w:rPr>
          <w:sz w:val="32"/>
          <w:szCs w:val="32"/>
        </w:rPr>
        <w:t>013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 w:rsidR="00F06532">
        <w:t>.</w:t>
      </w:r>
      <w:r>
        <w:t>010, apresentamos o relatório rela</w:t>
      </w:r>
      <w:r w:rsidR="002C4B10">
        <w:t xml:space="preserve">tivo ao </w:t>
      </w:r>
      <w:r w:rsidR="007406B8">
        <w:t>primeiro</w:t>
      </w:r>
      <w:r w:rsidR="002C4B10">
        <w:t xml:space="preserve"> trimestre de 2</w:t>
      </w:r>
      <w:r w:rsidR="00F06532">
        <w:t>.</w:t>
      </w:r>
      <w:r>
        <w:t>01</w:t>
      </w:r>
      <w:r w:rsidR="007406B8">
        <w:t>3</w:t>
      </w:r>
      <w:r>
        <w:t>.</w:t>
      </w:r>
    </w:p>
    <w:p w:rsidR="00EF2E2E" w:rsidRDefault="00EF2E2E" w:rsidP="009C5DD1">
      <w:pPr>
        <w:ind w:firstLine="709"/>
        <w:jc w:val="both"/>
      </w:pPr>
      <w:r>
        <w:t>Com a chegada de mais um funcionário, n</w:t>
      </w:r>
      <w:r w:rsidR="007406B8">
        <w:t>o dia 1º de março</w:t>
      </w:r>
      <w:r w:rsidR="00985907">
        <w:t xml:space="preserve"> implanta</w:t>
      </w:r>
      <w:r w:rsidR="007406B8">
        <w:t>mos</w:t>
      </w:r>
      <w:r w:rsidR="00985907">
        <w:t xml:space="preserve"> </w:t>
      </w:r>
      <w:r w:rsidR="0054379A">
        <w:t>o módulo Ouvidoria no SIS MP Integrado</w:t>
      </w:r>
      <w:r>
        <w:t>.</w:t>
      </w:r>
      <w:r w:rsidR="00985907">
        <w:t xml:space="preserve"> </w:t>
      </w:r>
      <w:r>
        <w:t xml:space="preserve">Apesar do aumento do trabalho com o cadastramento de cada manifestação, acreditamos que os dados colhidos </w:t>
      </w:r>
      <w:r w:rsidR="00985907">
        <w:t>irão gerar</w:t>
      </w:r>
      <w:r w:rsidR="0054379A">
        <w:t xml:space="preserve"> estatísticas confiáveis</w:t>
      </w:r>
      <w:r w:rsidR="00B65501">
        <w:t xml:space="preserve"> </w:t>
      </w:r>
      <w:r w:rsidR="0054379A">
        <w:t xml:space="preserve">que poderão ajudar na tomada de decisões por parte da Administração Superior do Ministério Público. </w:t>
      </w:r>
      <w:r>
        <w:t>Aliás, os dados relativos ao mês de março já foram retirados pelo próprio sistema informatizado. As estatísticas relativas ao próximo trimestre já serão colhidas, em sua totalidade, do próprio sistema.</w:t>
      </w:r>
    </w:p>
    <w:p w:rsidR="00EF2E2E" w:rsidRDefault="00EF2E2E" w:rsidP="009C5DD1">
      <w:pPr>
        <w:ind w:firstLine="709"/>
        <w:jc w:val="both"/>
      </w:pPr>
      <w:r>
        <w:t>A implantação do módulo Ouvidoria no SIS MP Integrado ocorreu sem nenhum problema, numa demonstração da competência técnica dos membros do CTIC – Centro de Tecnologia da Informação e Comunicação, que estão de parabéns.</w:t>
      </w:r>
    </w:p>
    <w:p w:rsidR="003D0737" w:rsidRDefault="00EF2E2E" w:rsidP="009C5DD1">
      <w:pPr>
        <w:ind w:firstLine="709"/>
        <w:jc w:val="both"/>
      </w:pPr>
      <w:r>
        <w:t>No dia 27 de fevereiro ocorreu a eleição para o cargo de Ouvidor</w:t>
      </w:r>
      <w:r w:rsidR="00191691">
        <w:t>,</w:t>
      </w:r>
      <w:r>
        <w:t xml:space="preserve"> </w:t>
      </w:r>
      <w:r w:rsidR="00C37874">
        <w:t>relativa</w:t>
      </w:r>
      <w:r>
        <w:t xml:space="preserve"> </w:t>
      </w:r>
      <w:r w:rsidR="00C37874">
        <w:t>a</w:t>
      </w:r>
      <w:r>
        <w:t>o biênio 2.013</w:t>
      </w:r>
      <w:r w:rsidR="00C37874">
        <w:t xml:space="preserve"> – </w:t>
      </w:r>
      <w:r>
        <w:t>2.015</w:t>
      </w:r>
      <w:r w:rsidR="003D0737">
        <w:t>, ocasião em que fomos reeleitos. Durante o período de desincompatibilização, fomos substituídos pela Ouvidora suplente, Procuradora de Justiça Drª Deborah Pierri.</w:t>
      </w:r>
    </w:p>
    <w:p w:rsidR="003D0737" w:rsidRDefault="003D0737" w:rsidP="009C5DD1">
      <w:pPr>
        <w:ind w:firstLine="709"/>
        <w:jc w:val="both"/>
      </w:pPr>
      <w:r>
        <w:t xml:space="preserve">Já no dia 3 de março teve início nosso segundo mandato, que </w:t>
      </w:r>
      <w:r w:rsidR="00191691">
        <w:t>se findará</w:t>
      </w:r>
      <w:r>
        <w:t xml:space="preserve"> no dia 2 de março de 2.015.</w:t>
      </w:r>
    </w:p>
    <w:p w:rsidR="002877E2" w:rsidRDefault="00DF73EC" w:rsidP="00BF60F2">
      <w:pPr>
        <w:ind w:firstLine="709"/>
        <w:jc w:val="both"/>
      </w:pPr>
      <w:r>
        <w:t xml:space="preserve">Nos dias </w:t>
      </w:r>
      <w:r w:rsidR="003D0737">
        <w:t>7</w:t>
      </w:r>
      <w:r>
        <w:t xml:space="preserve"> e </w:t>
      </w:r>
      <w:r w:rsidR="003D0737">
        <w:t>8</w:t>
      </w:r>
      <w:r>
        <w:t xml:space="preserve"> de </w:t>
      </w:r>
      <w:r w:rsidR="003D0737">
        <w:t>março</w:t>
      </w:r>
      <w:r>
        <w:t xml:space="preserve"> de 2.01</w:t>
      </w:r>
      <w:r w:rsidR="003D0737">
        <w:t>3</w:t>
      </w:r>
      <w:r>
        <w:t xml:space="preserve">, participamos </w:t>
      </w:r>
      <w:r w:rsidR="00BF60F2">
        <w:t xml:space="preserve">da </w:t>
      </w:r>
      <w:r>
        <w:t>1</w:t>
      </w:r>
      <w:r w:rsidR="003D0737">
        <w:t>6</w:t>
      </w:r>
      <w:r>
        <w:t>ª</w:t>
      </w:r>
      <w:r w:rsidR="00BF60F2">
        <w:t xml:space="preserve"> Reunião Ordinária do Conselho Nacional dos Ouvidores do Ministério Público (CNOMP), realizada </w:t>
      </w:r>
      <w:r w:rsidR="003D0737">
        <w:t>em Fortaleza</w:t>
      </w:r>
      <w:r w:rsidR="00BF60F2">
        <w:t xml:space="preserve">, capital do Estado </w:t>
      </w:r>
      <w:r w:rsidR="00F36829">
        <w:t xml:space="preserve">do </w:t>
      </w:r>
      <w:r w:rsidR="003D0737">
        <w:t>Ceará</w:t>
      </w:r>
      <w:r w:rsidR="00BF60F2">
        <w:t>.</w:t>
      </w:r>
      <w:r>
        <w:t xml:space="preserve"> </w:t>
      </w:r>
      <w:r w:rsidR="00F36829">
        <w:t>Est</w:t>
      </w:r>
      <w:r w:rsidR="003D0737">
        <w:t>eve</w:t>
      </w:r>
      <w:r w:rsidRPr="00DF73EC">
        <w:t xml:space="preserve"> presente ao evento </w:t>
      </w:r>
      <w:r w:rsidR="006C0F6F">
        <w:t>o Dr. Almino Afonso Fernandes,</w:t>
      </w:r>
      <w:r w:rsidRPr="00DF73EC">
        <w:t xml:space="preserve"> Ouvidor do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Conselho Nacional do Ministério Público, que</w:t>
      </w:r>
      <w:r w:rsidR="006C0F6F">
        <w:t xml:space="preserve">, contando com a colaboração </w:t>
      </w:r>
      <w:r w:rsidR="00347FF5">
        <w:t>do Sr. Waldeck Araújo Jr., Secretário de Tecnologia da Informação</w:t>
      </w:r>
      <w:r w:rsidR="006C0F6F">
        <w:t xml:space="preserve"> do CNMP,</w:t>
      </w:r>
      <w:r w:rsidR="00347FF5">
        <w:t xml:space="preserve"> e de Wilfredo Enrique Pires Pacheco, Coordenador da Ouvidoria do CNMP, falou sobre a Unificação dos Sistemas de Tecnologia da Informação e sobre a padronização dos relatórios das Ouvidorias do Ministério Público.</w:t>
      </w:r>
    </w:p>
    <w:p w:rsidR="00347FF5" w:rsidRDefault="002877E2" w:rsidP="00BF60F2">
      <w:pPr>
        <w:ind w:firstLine="709"/>
        <w:jc w:val="both"/>
      </w:pPr>
      <w:r>
        <w:t xml:space="preserve">Durante o evento, </w:t>
      </w:r>
      <w:r w:rsidR="00DF73EC" w:rsidRPr="00DF73EC">
        <w:t>proferiu uma</w:t>
      </w:r>
      <w:r>
        <w:t xml:space="preserve"> </w:t>
      </w:r>
      <w:r w:rsidR="00DF73EC" w:rsidRPr="00DF73EC">
        <w:t>palestra</w:t>
      </w:r>
      <w:r>
        <w:t xml:space="preserve"> </w:t>
      </w:r>
      <w:r w:rsidR="00347FF5">
        <w:t>a Professora e Jornalista Adísia Sá, primeira ombudsman e fundadora da Associação Brasileira de Ouvidores – ABO-CE, sobre o tema “Repensando a Ouvidoria”. A palestra despertou vivo interesse de todos os presentes.</w:t>
      </w:r>
    </w:p>
    <w:p w:rsidR="00347FF5" w:rsidRDefault="00347FF5" w:rsidP="00BF60F2">
      <w:pPr>
        <w:ind w:firstLine="709"/>
        <w:jc w:val="both"/>
      </w:pPr>
      <w:r>
        <w:t xml:space="preserve">Também proferiu uma palestra </w:t>
      </w:r>
      <w:r w:rsidR="002877E2">
        <w:t xml:space="preserve">o </w:t>
      </w:r>
      <w:r>
        <w:t>Dr. João Alves de Melo, Secretário Estadual da Controladoria e Ouvidoria-Geral do Ceará, com o tema “Controle Social da Gestão Pública”.</w:t>
      </w:r>
    </w:p>
    <w:p w:rsidR="007273A2" w:rsidRDefault="007273A2" w:rsidP="006E46A9">
      <w:pPr>
        <w:ind w:firstLine="709"/>
        <w:jc w:val="both"/>
      </w:pPr>
      <w:r>
        <w:t xml:space="preserve">Na noite do dia 8, ocorreu a posse </w:t>
      </w:r>
      <w:r w:rsidR="00AF77E6">
        <w:t xml:space="preserve">solene </w:t>
      </w:r>
      <w:r>
        <w:t xml:space="preserve">da nova diretoria do Conselho Nacional dos Ouvidores do Ministério Público – CNOMP, com mandato de um ano, ocasião em que fomos </w:t>
      </w:r>
      <w:r>
        <w:lastRenderedPageBreak/>
        <w:t>empossados como Diretor Financeiro. A nova diretoria é presidida pelo Dr. José Valdo Silva, Ouvidor do Ceará, tendo como Vice-presidente o Dr. Sales Eurico Melgarejo Freitas, Ouvidor de Roraima; e como Secretária a Drª Ruth Lies Scholte Carvalho, Ouvidora de Minas Gerais.</w:t>
      </w:r>
    </w:p>
    <w:p w:rsidR="00581447" w:rsidRDefault="00B161A3" w:rsidP="00581447">
      <w:pPr>
        <w:ind w:firstLine="709"/>
        <w:jc w:val="both"/>
      </w:pPr>
      <w:r>
        <w:t xml:space="preserve">As manifestações dirigidas à Ouvidoria, </w:t>
      </w:r>
      <w:r w:rsidR="00FE08C9">
        <w:t xml:space="preserve">no </w:t>
      </w:r>
      <w:r w:rsidR="00E841DA">
        <w:t>primeiro</w:t>
      </w:r>
      <w:r w:rsidR="00593298">
        <w:t xml:space="preserve"> trimestre de 2</w:t>
      </w:r>
      <w:r w:rsidR="00030594">
        <w:t>.</w:t>
      </w:r>
      <w:r w:rsidR="00593298">
        <w:t>01</w:t>
      </w:r>
      <w:r w:rsidR="00E841DA">
        <w:t>3</w:t>
      </w:r>
      <w:r>
        <w:t xml:space="preserve">, </w:t>
      </w:r>
      <w:r w:rsidR="00E841DA">
        <w:t>voltaram a crescer</w:t>
      </w:r>
      <w:r w:rsidR="00593298">
        <w:t xml:space="preserve"> em relação ao trimestre anterior</w:t>
      </w:r>
      <w:r>
        <w:t xml:space="preserve">. No mês de </w:t>
      </w:r>
      <w:r w:rsidR="00E841DA">
        <w:t>janeiro</w:t>
      </w:r>
      <w:r w:rsidR="00C41597">
        <w:t xml:space="preserve"> </w:t>
      </w:r>
      <w:r>
        <w:t xml:space="preserve">foram </w:t>
      </w:r>
      <w:r w:rsidR="00030594">
        <w:t>1.</w:t>
      </w:r>
      <w:r w:rsidR="008B0847">
        <w:t>288</w:t>
      </w:r>
      <w:r>
        <w:t xml:space="preserve"> (</w:t>
      </w:r>
      <w:r w:rsidR="00030594">
        <w:t>mil</w:t>
      </w:r>
      <w:r w:rsidR="00BE024F">
        <w:t xml:space="preserve">, </w:t>
      </w:r>
      <w:r w:rsidR="008B0847">
        <w:t>duzentas</w:t>
      </w:r>
      <w:r w:rsidR="007B433F">
        <w:t xml:space="preserve"> </w:t>
      </w:r>
      <w:r w:rsidR="00922FCF">
        <w:t xml:space="preserve">e </w:t>
      </w:r>
      <w:r w:rsidR="008B0847">
        <w:t>oitenta</w:t>
      </w:r>
      <w:r w:rsidR="00922FCF">
        <w:t xml:space="preserve"> e </w:t>
      </w:r>
      <w:r w:rsidR="008B0847">
        <w:t>oito</w:t>
      </w:r>
      <w:r>
        <w:t xml:space="preserve">), em </w:t>
      </w:r>
      <w:r w:rsidR="008B0847">
        <w:t>fevereiro</w:t>
      </w:r>
      <w:r>
        <w:t xml:space="preserve"> 1</w:t>
      </w:r>
      <w:r w:rsidR="00820723">
        <w:t>.</w:t>
      </w:r>
      <w:r w:rsidR="008B0847">
        <w:t>293</w:t>
      </w:r>
      <w:r>
        <w:t xml:space="preserve"> (mil</w:t>
      </w:r>
      <w:r w:rsidR="007B433F">
        <w:t xml:space="preserve">, </w:t>
      </w:r>
      <w:r w:rsidR="008B0847">
        <w:t>duzentas</w:t>
      </w:r>
      <w:r>
        <w:t xml:space="preserve"> e </w:t>
      </w:r>
      <w:r w:rsidR="008B0847">
        <w:t>noventa e três</w:t>
      </w:r>
      <w:r>
        <w:t xml:space="preserve">) e em </w:t>
      </w:r>
      <w:r w:rsidR="008B0847">
        <w:t>março</w:t>
      </w:r>
      <w:r>
        <w:t xml:space="preserve"> 1</w:t>
      </w:r>
      <w:r w:rsidR="00820723">
        <w:t>.</w:t>
      </w:r>
      <w:r w:rsidR="008B0847">
        <w:t>178</w:t>
      </w:r>
      <w:r>
        <w:t xml:space="preserve"> (mil</w:t>
      </w:r>
      <w:r w:rsidR="008B0847">
        <w:t>, cento</w:t>
      </w:r>
      <w:r w:rsidR="00BE024F">
        <w:t xml:space="preserve"> e </w:t>
      </w:r>
      <w:r w:rsidR="008B0847">
        <w:t>setenta</w:t>
      </w:r>
      <w:r w:rsidR="00BE024F">
        <w:t xml:space="preserve"> e </w:t>
      </w:r>
      <w:r w:rsidR="008B0847">
        <w:t>oito</w:t>
      </w:r>
      <w:r>
        <w:t>), resultando em 3.</w:t>
      </w:r>
      <w:r w:rsidR="008B0847">
        <w:t>75</w:t>
      </w:r>
      <w:r w:rsidR="00BE024F">
        <w:t>9</w:t>
      </w:r>
      <w:r>
        <w:t xml:space="preserve"> (três mil, </w:t>
      </w:r>
      <w:r w:rsidR="008B0847">
        <w:t>setecentas</w:t>
      </w:r>
      <w:r w:rsidR="00BE024F">
        <w:t xml:space="preserve"> e </w:t>
      </w:r>
      <w:r w:rsidR="008B0847">
        <w:t>cinquenta</w:t>
      </w:r>
      <w:r w:rsidR="00BE024F">
        <w:t xml:space="preserve"> e nove</w:t>
      </w:r>
      <w:r>
        <w:t xml:space="preserve">) manifestações no </w:t>
      </w:r>
      <w:r w:rsidR="008B0847">
        <w:t>1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8B0847">
        <w:t>3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8B0847">
        <w:t>acréscimo de 6,51</w:t>
      </w:r>
      <w:r w:rsidR="00581447">
        <w:t>% em relação ao trimestre an</w:t>
      </w:r>
      <w:r w:rsidR="008B0847">
        <w:t>terior e um crescimento de 12,78</w:t>
      </w:r>
      <w:r w:rsidR="00581447">
        <w:t xml:space="preserve">% em relação </w:t>
      </w:r>
      <w:r w:rsidR="008B0847">
        <w:t>ao mesmo período do ano de 2.012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>espeito de suas preocupações 782</w:t>
      </w:r>
      <w:r>
        <w:t xml:space="preserve"> (</w:t>
      </w:r>
      <w:r w:rsidR="008B0847">
        <w:t>setecentas</w:t>
      </w:r>
      <w:r>
        <w:t xml:space="preserve"> e oitenta e </w:t>
      </w:r>
      <w:r w:rsidR="008B0847">
        <w:t>duas</w:t>
      </w:r>
      <w:r>
        <w:t xml:space="preserve">) pessoas, sendo </w:t>
      </w:r>
      <w:r w:rsidR="008B0847">
        <w:t>779</w:t>
      </w:r>
      <w:r>
        <w:t xml:space="preserve"> (</w:t>
      </w:r>
      <w:r w:rsidR="008B0847">
        <w:t>setecentas</w:t>
      </w:r>
      <w:r>
        <w:t xml:space="preserve"> e setenta e </w:t>
      </w:r>
      <w:r w:rsidR="008B0847">
        <w:t>nove</w:t>
      </w:r>
      <w:r>
        <w:t xml:space="preserve">) por telefone e </w:t>
      </w:r>
      <w:r w:rsidR="008B0847">
        <w:t>3</w:t>
      </w:r>
      <w:r>
        <w:t xml:space="preserve"> (</w:t>
      </w:r>
      <w:r w:rsidR="008B0847">
        <w:t>três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>s estão assim distribuídas: 2.</w:t>
      </w:r>
      <w:r>
        <w:t>9</w:t>
      </w:r>
      <w:r w:rsidR="003E49B1">
        <w:t>39</w:t>
      </w:r>
      <w:r>
        <w:t xml:space="preserve"> (duas mil, </w:t>
      </w:r>
      <w:r w:rsidR="003E49B1">
        <w:t>novecentas</w:t>
      </w:r>
      <w:r>
        <w:t xml:space="preserve"> e </w:t>
      </w:r>
      <w:r w:rsidR="003E49B1">
        <w:t>trinta</w:t>
      </w:r>
      <w:r>
        <w:t xml:space="preserve"> e </w:t>
      </w:r>
      <w:r w:rsidR="003E49B1">
        <w:t>nove</w:t>
      </w:r>
      <w:r>
        <w:t>) me</w:t>
      </w:r>
      <w:r w:rsidR="003E49B1">
        <w:t>nsagens por meio eletrônico e 38</w:t>
      </w:r>
      <w:r>
        <w:t xml:space="preserve"> (</w:t>
      </w:r>
      <w:r w:rsidR="003E49B1">
        <w:t>trinta</w:t>
      </w:r>
      <w:r>
        <w:t xml:space="preserve"> e </w:t>
      </w:r>
      <w:r w:rsidR="003E49B1">
        <w:t>oito</w:t>
      </w:r>
      <w:r>
        <w:t>) por carta.</w:t>
      </w:r>
    </w:p>
    <w:p w:rsidR="00581447" w:rsidRDefault="00581447" w:rsidP="00581447">
      <w:pPr>
        <w:ind w:firstLine="709"/>
        <w:jc w:val="both"/>
      </w:pPr>
      <w:r>
        <w:t>Foram encerradas 3.</w:t>
      </w:r>
      <w:r w:rsidR="003E49B1">
        <w:t>759</w:t>
      </w:r>
      <w:r>
        <w:t xml:space="preserve"> (</w:t>
      </w:r>
      <w:r w:rsidR="003E49B1">
        <w:t>três mil, setecentas e cinquenta e nove</w:t>
      </w:r>
      <w:r>
        <w:t>) manifestações</w:t>
      </w:r>
      <w:r w:rsidR="003E49B1">
        <w:t>, não restando nenhuma sem andamento.</w:t>
      </w: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Críticas 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529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1.263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696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</w:tbl>
    <w:p w:rsidR="00581447" w:rsidRDefault="00581447" w:rsidP="00581447">
      <w:pPr>
        <w:jc w:val="both"/>
      </w:pPr>
    </w:p>
    <w:p w:rsidR="008340B6" w:rsidRDefault="008340B6" w:rsidP="00A32192">
      <w:pPr>
        <w:jc w:val="both"/>
      </w:pP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A32192" w:rsidRDefault="00A32192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454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21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50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57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Subprocuradorias/CSMP                                                             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2.656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433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 anônimas encaminhadas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367EC3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9</w:t>
            </w:r>
            <w:r w:rsidR="00B8460E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encerrados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3.75</w:t>
            </w:r>
            <w:r w:rsidR="004409A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409AB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67EC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581447" w:rsidRDefault="00581447" w:rsidP="00581447">
      <w:pPr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581447" w:rsidRDefault="00581447" w:rsidP="00581447">
      <w:pPr>
        <w:ind w:firstLine="709"/>
        <w:jc w:val="both"/>
      </w:pPr>
    </w:p>
    <w:p w:rsidR="00581447" w:rsidRDefault="00367EC3" w:rsidP="00581447">
      <w:pPr>
        <w:jc w:val="both"/>
      </w:pPr>
      <w:r w:rsidRPr="00E761A0">
        <w:rPr>
          <w:noProof/>
          <w:color w:val="FF000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447" w:rsidRDefault="00E761A0" w:rsidP="00581447">
      <w:pPr>
        <w:spacing w:after="0" w:line="240" w:lineRule="auto"/>
      </w:pPr>
      <w:r>
        <w:rPr>
          <w:noProof/>
          <w:color w:val="7030A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Desde a instalação da Ouvidoria em março de 2.011 até setembro de 2.012, como já afirmado no início deste relatório,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E75EE8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447" w:rsidRDefault="00581447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  <w:r>
        <w:t>Como se vê pelos gráficos acima, a</w:t>
      </w:r>
      <w:r w:rsidR="00581447">
        <w:t xml:space="preserve"> Ouvidoria consolidou-se como importante intermediadora entre a sociedade e os diversos setores do Ministério Público.</w:t>
      </w:r>
    </w:p>
    <w:p w:rsidR="00581447" w:rsidRDefault="00C37874" w:rsidP="00581447">
      <w:pPr>
        <w:ind w:firstLine="709"/>
        <w:jc w:val="both"/>
      </w:pPr>
      <w:r>
        <w:t>Com o novo sistema</w:t>
      </w:r>
      <w:r w:rsidR="00CD7A90">
        <w:t xml:space="preserve"> de informática será possível indicarmos com maior precisão quais as solicitações de atuação da Instituição que têm sido mais frequentes. Apenas a título de exemplo, no mês de março foram feitas 100 (cem) solicitações relativas à área do consumidor, 68 (sessenta e oito) reclamações a respeito dos chamados bailes </w:t>
      </w:r>
      <w:r w:rsidR="00CD7A90" w:rsidRPr="00CD7A90">
        <w:rPr>
          <w:i/>
        </w:rPr>
        <w:t>funk</w:t>
      </w:r>
      <w:r w:rsidR="00CD7A90">
        <w:t xml:space="preserve"> e 42 (quarenta e dois) pedidos relacionados à área da saúde.</w:t>
      </w:r>
    </w:p>
    <w:p w:rsidR="00CD7A90" w:rsidRDefault="00CD7A90" w:rsidP="00581447">
      <w:pPr>
        <w:ind w:firstLine="709"/>
        <w:jc w:val="both"/>
      </w:pPr>
      <w:r>
        <w:t xml:space="preserve">Aliás, no que diz respeito aos bailes </w:t>
      </w:r>
      <w:r w:rsidRPr="00CD7A90">
        <w:rPr>
          <w:i/>
        </w:rPr>
        <w:t>funk</w:t>
      </w:r>
      <w:r>
        <w:t>, é urgente a atuação mais firme do Ministério Público, pois invariavelmente esses bailes envolvem a perturbação do sossego público</w:t>
      </w:r>
      <w:r w:rsidR="00371EE2">
        <w:t xml:space="preserve"> pelo alto volume de aparelhos de som</w:t>
      </w:r>
      <w:r>
        <w:t xml:space="preserve">, a apologia de crimes e de uso de drogas, </w:t>
      </w:r>
      <w:r w:rsidR="00FF78A9">
        <w:t>o uso e abuso n</w:t>
      </w:r>
      <w:r w:rsidR="00371EE2">
        <w:t xml:space="preserve">a ingestão de bebidas alcoólicas e de entorpecentes, a prática de sexo em público, inclusive com </w:t>
      </w:r>
      <w:r>
        <w:t>a participação de menores, fatos que estão a exigir um posicionamento</w:t>
      </w:r>
      <w:r w:rsidR="00371EE2">
        <w:t xml:space="preserve"> conjunto de várias áreas da Instituição.</w:t>
      </w:r>
    </w:p>
    <w:p w:rsidR="00371EE2" w:rsidRDefault="00371EE2" w:rsidP="00581447">
      <w:pPr>
        <w:ind w:firstLine="709"/>
        <w:jc w:val="both"/>
      </w:pPr>
      <w:r>
        <w:t>No que diz respeito a questões internas do Ministério Público, ainda que esporádicas, têm sido recorrentes a</w:t>
      </w:r>
      <w:r w:rsidR="00191691">
        <w:t>s</w:t>
      </w:r>
      <w:r>
        <w:t xml:space="preserve"> reclamações a respeito dos endereços das Promotorias de Justiça do interior, que são alterados, mas tais modificações não são atualizadas em nosso </w:t>
      </w:r>
      <w:r w:rsidRPr="00371EE2">
        <w:rPr>
          <w:i/>
        </w:rPr>
        <w:t>site</w:t>
      </w:r>
      <w:r>
        <w:t>. Sugere-se o estabelecimento de uma rotina a ser seguida, quando da mudança de localização das Promotorias de Justiça</w:t>
      </w:r>
      <w:r w:rsidR="00FF78A9">
        <w:t>.</w:t>
      </w:r>
    </w:p>
    <w:p w:rsidR="00FF78A9" w:rsidRDefault="00FF78A9" w:rsidP="00581447">
      <w:pPr>
        <w:ind w:firstLine="709"/>
        <w:jc w:val="both"/>
      </w:pPr>
      <w:r>
        <w:lastRenderedPageBreak/>
        <w:t>Outra sugestão é relativa ao concurso para estagiários. Deveria haver uma maior divulgação desses concursos, inclusive com o envio de correspondência para as Faculdades de Direito.</w:t>
      </w:r>
    </w:p>
    <w:p w:rsidR="00FF78A9" w:rsidRDefault="00FF78A9" w:rsidP="00581447">
      <w:pPr>
        <w:ind w:firstLine="709"/>
        <w:jc w:val="both"/>
      </w:pPr>
      <w:r>
        <w:t>Quanto ao concurso de ingresso à carreira do Ministério Público, deveria ser inserido para conhecimento dos interessados, que a data da prova preambular só será designada pela banca examinadora, após sua formação. Isto porque é bastante comum a Ouvidoria receber indagações a respeito da data da realização da prova preambular.</w:t>
      </w:r>
      <w:bookmarkStart w:id="0" w:name="_GoBack"/>
      <w:bookmarkEnd w:id="0"/>
    </w:p>
    <w:p w:rsidR="00581447" w:rsidRDefault="00581447" w:rsidP="00581447">
      <w:pPr>
        <w:ind w:firstLine="709"/>
        <w:jc w:val="both"/>
      </w:pPr>
      <w:r>
        <w:t>De qualquer maneira, ainda que modestamente, a Ouvidoria prossegue em seu objetivo de f</w:t>
      </w:r>
      <w:r w:rsidRPr="006120AC">
        <w:t>ortalecer a cidadania e elevar, continuamente, os padrões de transparência, presteza e segurança das atividades desenvolvidas pelo Ministério Público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25" w:rsidRDefault="00870E25" w:rsidP="0080377D">
      <w:pPr>
        <w:spacing w:after="0" w:line="240" w:lineRule="auto"/>
      </w:pPr>
      <w:r>
        <w:separator/>
      </w:r>
    </w:p>
  </w:endnote>
  <w:endnote w:type="continuationSeparator" w:id="0">
    <w:p w:rsidR="00870E25" w:rsidRDefault="00870E25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7E4878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A32192">
      <w:rPr>
        <w:noProof/>
      </w:rPr>
      <w:t>4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25" w:rsidRDefault="00870E25" w:rsidP="0080377D">
      <w:pPr>
        <w:spacing w:after="0" w:line="240" w:lineRule="auto"/>
      </w:pPr>
      <w:r>
        <w:separator/>
      </w:r>
    </w:p>
  </w:footnote>
  <w:footnote w:type="continuationSeparator" w:id="0">
    <w:p w:rsidR="00870E25" w:rsidRDefault="00870E25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98F"/>
    <w:rsid w:val="0002107A"/>
    <w:rsid w:val="00022FB6"/>
    <w:rsid w:val="00030594"/>
    <w:rsid w:val="0005423C"/>
    <w:rsid w:val="000605FD"/>
    <w:rsid w:val="000671B9"/>
    <w:rsid w:val="00076904"/>
    <w:rsid w:val="000830B8"/>
    <w:rsid w:val="000A2BB2"/>
    <w:rsid w:val="000B7B58"/>
    <w:rsid w:val="000C28E4"/>
    <w:rsid w:val="000E5F22"/>
    <w:rsid w:val="00116EC3"/>
    <w:rsid w:val="00131766"/>
    <w:rsid w:val="00136B17"/>
    <w:rsid w:val="0014161E"/>
    <w:rsid w:val="00160DFA"/>
    <w:rsid w:val="00191691"/>
    <w:rsid w:val="001A6892"/>
    <w:rsid w:val="001C5A10"/>
    <w:rsid w:val="001D02D6"/>
    <w:rsid w:val="001F1C0D"/>
    <w:rsid w:val="002071F7"/>
    <w:rsid w:val="002578DB"/>
    <w:rsid w:val="00273EF1"/>
    <w:rsid w:val="00280B0E"/>
    <w:rsid w:val="002877E2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410E5"/>
    <w:rsid w:val="00341395"/>
    <w:rsid w:val="00342774"/>
    <w:rsid w:val="00343CA4"/>
    <w:rsid w:val="00347FF5"/>
    <w:rsid w:val="0035713D"/>
    <w:rsid w:val="0036073B"/>
    <w:rsid w:val="00367EC3"/>
    <w:rsid w:val="00371EE2"/>
    <w:rsid w:val="003A2DC6"/>
    <w:rsid w:val="003C257A"/>
    <w:rsid w:val="003C7BBE"/>
    <w:rsid w:val="003D0737"/>
    <w:rsid w:val="003E49B1"/>
    <w:rsid w:val="0040443F"/>
    <w:rsid w:val="00420F59"/>
    <w:rsid w:val="00434155"/>
    <w:rsid w:val="00435CC5"/>
    <w:rsid w:val="004409AB"/>
    <w:rsid w:val="00464E85"/>
    <w:rsid w:val="00465AF3"/>
    <w:rsid w:val="004902D1"/>
    <w:rsid w:val="00503B1D"/>
    <w:rsid w:val="005112D2"/>
    <w:rsid w:val="005215D4"/>
    <w:rsid w:val="005306BB"/>
    <w:rsid w:val="0054379A"/>
    <w:rsid w:val="005607D5"/>
    <w:rsid w:val="005742BA"/>
    <w:rsid w:val="00581447"/>
    <w:rsid w:val="00586D61"/>
    <w:rsid w:val="00587FE0"/>
    <w:rsid w:val="00593298"/>
    <w:rsid w:val="005C6141"/>
    <w:rsid w:val="005D4C6A"/>
    <w:rsid w:val="005D5B6A"/>
    <w:rsid w:val="005E4E1E"/>
    <w:rsid w:val="00602EEC"/>
    <w:rsid w:val="00605CBC"/>
    <w:rsid w:val="006120AC"/>
    <w:rsid w:val="0063706E"/>
    <w:rsid w:val="006646B3"/>
    <w:rsid w:val="0067531F"/>
    <w:rsid w:val="006865FB"/>
    <w:rsid w:val="006A4604"/>
    <w:rsid w:val="006C0F6F"/>
    <w:rsid w:val="006C35C0"/>
    <w:rsid w:val="006D74C9"/>
    <w:rsid w:val="006E46A9"/>
    <w:rsid w:val="007154CB"/>
    <w:rsid w:val="00715B25"/>
    <w:rsid w:val="00715B68"/>
    <w:rsid w:val="00725B1A"/>
    <w:rsid w:val="007273A2"/>
    <w:rsid w:val="007331D4"/>
    <w:rsid w:val="00736E34"/>
    <w:rsid w:val="00737A3E"/>
    <w:rsid w:val="007406B8"/>
    <w:rsid w:val="00741B81"/>
    <w:rsid w:val="007460BE"/>
    <w:rsid w:val="00766328"/>
    <w:rsid w:val="007833FF"/>
    <w:rsid w:val="007A3DDB"/>
    <w:rsid w:val="007B178E"/>
    <w:rsid w:val="007B2891"/>
    <w:rsid w:val="007B433F"/>
    <w:rsid w:val="007C7EEB"/>
    <w:rsid w:val="007D3755"/>
    <w:rsid w:val="007D5F91"/>
    <w:rsid w:val="007E4878"/>
    <w:rsid w:val="0080377D"/>
    <w:rsid w:val="00820723"/>
    <w:rsid w:val="00832810"/>
    <w:rsid w:val="008340B6"/>
    <w:rsid w:val="00846FB0"/>
    <w:rsid w:val="008600D5"/>
    <w:rsid w:val="00870E25"/>
    <w:rsid w:val="008737A0"/>
    <w:rsid w:val="00877F1B"/>
    <w:rsid w:val="0089745A"/>
    <w:rsid w:val="008A690F"/>
    <w:rsid w:val="008B0847"/>
    <w:rsid w:val="008B5020"/>
    <w:rsid w:val="008C2928"/>
    <w:rsid w:val="008D3FEA"/>
    <w:rsid w:val="008D5443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A0D1A"/>
    <w:rsid w:val="009B4C39"/>
    <w:rsid w:val="009B7DF5"/>
    <w:rsid w:val="009C5DD1"/>
    <w:rsid w:val="009F09FD"/>
    <w:rsid w:val="00A21390"/>
    <w:rsid w:val="00A32192"/>
    <w:rsid w:val="00A35589"/>
    <w:rsid w:val="00A366BA"/>
    <w:rsid w:val="00A66324"/>
    <w:rsid w:val="00AD4639"/>
    <w:rsid w:val="00AF77E6"/>
    <w:rsid w:val="00B0220B"/>
    <w:rsid w:val="00B12B38"/>
    <w:rsid w:val="00B161A3"/>
    <w:rsid w:val="00B36C67"/>
    <w:rsid w:val="00B65501"/>
    <w:rsid w:val="00B8460E"/>
    <w:rsid w:val="00B84DFB"/>
    <w:rsid w:val="00B9134B"/>
    <w:rsid w:val="00BD3AA1"/>
    <w:rsid w:val="00BD52D5"/>
    <w:rsid w:val="00BE024F"/>
    <w:rsid w:val="00BF60F2"/>
    <w:rsid w:val="00C10AF5"/>
    <w:rsid w:val="00C14463"/>
    <w:rsid w:val="00C307FC"/>
    <w:rsid w:val="00C37874"/>
    <w:rsid w:val="00C41597"/>
    <w:rsid w:val="00C42D7D"/>
    <w:rsid w:val="00C60759"/>
    <w:rsid w:val="00C928EA"/>
    <w:rsid w:val="00C93392"/>
    <w:rsid w:val="00CA589B"/>
    <w:rsid w:val="00CB70CD"/>
    <w:rsid w:val="00CD7A90"/>
    <w:rsid w:val="00CD7C74"/>
    <w:rsid w:val="00D017AA"/>
    <w:rsid w:val="00D06AAD"/>
    <w:rsid w:val="00D2106A"/>
    <w:rsid w:val="00D279D2"/>
    <w:rsid w:val="00D43645"/>
    <w:rsid w:val="00D44E20"/>
    <w:rsid w:val="00D57AAF"/>
    <w:rsid w:val="00D70A5D"/>
    <w:rsid w:val="00D70DB9"/>
    <w:rsid w:val="00D778E3"/>
    <w:rsid w:val="00D92DCD"/>
    <w:rsid w:val="00DA25F9"/>
    <w:rsid w:val="00DC03AE"/>
    <w:rsid w:val="00DD4B05"/>
    <w:rsid w:val="00DD5C30"/>
    <w:rsid w:val="00DF1F38"/>
    <w:rsid w:val="00DF73EC"/>
    <w:rsid w:val="00E05FED"/>
    <w:rsid w:val="00E161D4"/>
    <w:rsid w:val="00E247DC"/>
    <w:rsid w:val="00E35A47"/>
    <w:rsid w:val="00E35A75"/>
    <w:rsid w:val="00E401F5"/>
    <w:rsid w:val="00E55079"/>
    <w:rsid w:val="00E6011C"/>
    <w:rsid w:val="00E75EE8"/>
    <w:rsid w:val="00E761A0"/>
    <w:rsid w:val="00E841DA"/>
    <w:rsid w:val="00ED217F"/>
    <w:rsid w:val="00ED535F"/>
    <w:rsid w:val="00ED638C"/>
    <w:rsid w:val="00EF0761"/>
    <w:rsid w:val="00EF2E2E"/>
    <w:rsid w:val="00F06532"/>
    <w:rsid w:val="00F12A71"/>
    <w:rsid w:val="00F13668"/>
    <w:rsid w:val="00F277C4"/>
    <w:rsid w:val="00F36829"/>
    <w:rsid w:val="00F73BBC"/>
    <w:rsid w:val="00F83B2A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92D05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Pedidos de Informações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139</c:v>
                </c:pt>
                <c:pt idx="1">
                  <c:v>27</c:v>
                </c:pt>
                <c:pt idx="2">
                  <c:v>529</c:v>
                </c:pt>
                <c:pt idx="3">
                  <c:v>1263</c:v>
                </c:pt>
                <c:pt idx="4">
                  <c:v>1696</c:v>
                </c:pt>
                <c:pt idx="5">
                  <c:v>9</c:v>
                </c:pt>
                <c:pt idx="6">
                  <c:v>96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2939</c:v>
                </c:pt>
                <c:pt idx="1">
                  <c:v>779</c:v>
                </c:pt>
                <c:pt idx="2">
                  <c:v>38</c:v>
                </c:pt>
                <c:pt idx="3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#,##0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</c:numCache>
            </c:numRef>
          </c:val>
        </c:ser>
        <c:axId val="71647232"/>
        <c:axId val="71648768"/>
      </c:barChart>
      <c:catAx>
        <c:axId val="71647232"/>
        <c:scaling>
          <c:orientation val="minMax"/>
        </c:scaling>
        <c:axPos val="b"/>
        <c:tickLblPos val="nextTo"/>
        <c:crossAx val="71648768"/>
        <c:crosses val="autoZero"/>
        <c:auto val="1"/>
        <c:lblAlgn val="ctr"/>
        <c:lblOffset val="100"/>
      </c:catAx>
      <c:valAx>
        <c:axId val="71648768"/>
        <c:scaling>
          <c:orientation val="minMax"/>
        </c:scaling>
        <c:axPos val="l"/>
        <c:majorGridlines/>
        <c:numFmt formatCode="General" sourceLinked="1"/>
        <c:tickLblPos val="nextTo"/>
        <c:crossAx val="716472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9A63-5383-4CD0-829C-8B8691B4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2012-04-11T17:59:00Z</cp:lastPrinted>
  <dcterms:created xsi:type="dcterms:W3CDTF">2013-04-04T18:14:00Z</dcterms:created>
  <dcterms:modified xsi:type="dcterms:W3CDTF">2013-04-04T18:14:00Z</dcterms:modified>
</cp:coreProperties>
</file>