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DD1" w:rsidRPr="00F06532" w:rsidRDefault="009C5DD1" w:rsidP="00F06532">
      <w:pPr>
        <w:jc w:val="center"/>
        <w:rPr>
          <w:sz w:val="32"/>
          <w:szCs w:val="32"/>
        </w:rPr>
      </w:pPr>
      <w:r w:rsidRPr="009C5DD1">
        <w:rPr>
          <w:sz w:val="32"/>
          <w:szCs w:val="32"/>
        </w:rPr>
        <w:t>RELATÓRIO</w:t>
      </w:r>
      <w:r w:rsidR="00846FB0">
        <w:rPr>
          <w:sz w:val="32"/>
          <w:szCs w:val="32"/>
        </w:rPr>
        <w:t xml:space="preserve"> DO </w:t>
      </w:r>
      <w:r w:rsidR="007B5B30">
        <w:rPr>
          <w:sz w:val="32"/>
          <w:szCs w:val="32"/>
        </w:rPr>
        <w:t>2</w:t>
      </w:r>
      <w:r w:rsidR="007460BE">
        <w:rPr>
          <w:sz w:val="32"/>
          <w:szCs w:val="32"/>
        </w:rPr>
        <w:t>º TRIMESTRE DE 2</w:t>
      </w:r>
      <w:r w:rsidR="00F06532">
        <w:rPr>
          <w:sz w:val="32"/>
          <w:szCs w:val="32"/>
        </w:rPr>
        <w:t>.</w:t>
      </w:r>
      <w:r w:rsidR="00CD7C74">
        <w:rPr>
          <w:sz w:val="32"/>
          <w:szCs w:val="32"/>
        </w:rPr>
        <w:t>013</w:t>
      </w: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0C28E4" w:rsidRDefault="000C28E4" w:rsidP="009C5DD1">
      <w:pPr>
        <w:ind w:firstLine="709"/>
        <w:jc w:val="both"/>
      </w:pPr>
    </w:p>
    <w:p w:rsidR="009C5DD1" w:rsidRDefault="009C5DD1" w:rsidP="009C5DD1">
      <w:pPr>
        <w:ind w:firstLine="709"/>
        <w:jc w:val="both"/>
      </w:pPr>
      <w:r>
        <w:t>Em cumprimento ao disposto no artigo 2º, inciso VII, da Lei Complementar n</w:t>
      </w:r>
      <w:r w:rsidR="002C4B10">
        <w:t>º 1.127, de 29 de novembro de 2</w:t>
      </w:r>
      <w:r w:rsidR="00F06532">
        <w:t>.</w:t>
      </w:r>
      <w:r>
        <w:t>010, apresentamos o relatório rela</w:t>
      </w:r>
      <w:r w:rsidR="002C4B10">
        <w:t xml:space="preserve">tivo ao </w:t>
      </w:r>
      <w:r w:rsidR="00770538">
        <w:t>segundo</w:t>
      </w:r>
      <w:r w:rsidR="002C4B10">
        <w:t xml:space="preserve"> trimestre de 2</w:t>
      </w:r>
      <w:r w:rsidR="00F06532">
        <w:t>.</w:t>
      </w:r>
      <w:r>
        <w:t>01</w:t>
      </w:r>
      <w:r w:rsidR="007406B8">
        <w:t>3</w:t>
      </w:r>
      <w:r>
        <w:t>.</w:t>
      </w:r>
    </w:p>
    <w:p w:rsidR="002877E2" w:rsidRDefault="00DF73EC" w:rsidP="00BF60F2">
      <w:pPr>
        <w:ind w:firstLine="709"/>
        <w:jc w:val="both"/>
      </w:pPr>
      <w:r>
        <w:t xml:space="preserve">Nos dias </w:t>
      </w:r>
      <w:r w:rsidR="007B5B30">
        <w:t xml:space="preserve">6 e </w:t>
      </w:r>
      <w:r w:rsidR="003D0737">
        <w:t>7</w:t>
      </w:r>
      <w:r w:rsidR="007B5B30">
        <w:t xml:space="preserve"> </w:t>
      </w:r>
      <w:r>
        <w:t xml:space="preserve">de </w:t>
      </w:r>
      <w:r w:rsidR="007B5B30">
        <w:t>junho</w:t>
      </w:r>
      <w:r>
        <w:t xml:space="preserve"> de 2.01</w:t>
      </w:r>
      <w:r w:rsidR="003D0737">
        <w:t>3</w:t>
      </w:r>
      <w:r>
        <w:t xml:space="preserve">, participamos </w:t>
      </w:r>
      <w:r w:rsidR="00BF60F2">
        <w:t xml:space="preserve">da </w:t>
      </w:r>
      <w:r>
        <w:t>1</w:t>
      </w:r>
      <w:r w:rsidR="007B5B30">
        <w:t>7</w:t>
      </w:r>
      <w:r>
        <w:t>ª</w:t>
      </w:r>
      <w:r w:rsidR="00BF60F2">
        <w:t xml:space="preserve"> Reunião Ordinária do Conselho Nacional dos Ouvidores do Ministério Público (CNOMP), realizada </w:t>
      </w:r>
      <w:r w:rsidR="003D0737">
        <w:t xml:space="preserve">em </w:t>
      </w:r>
      <w:r w:rsidR="007B5B30">
        <w:t>Cuiabá</w:t>
      </w:r>
      <w:r w:rsidR="00BF60F2">
        <w:t xml:space="preserve">, capital do Estado </w:t>
      </w:r>
      <w:r w:rsidR="00F36829">
        <w:t xml:space="preserve">do </w:t>
      </w:r>
      <w:r w:rsidR="007B5B30">
        <w:t>Mato Grosso</w:t>
      </w:r>
      <w:r w:rsidR="00BF60F2">
        <w:t>.</w:t>
      </w:r>
      <w:r>
        <w:t xml:space="preserve"> </w:t>
      </w:r>
      <w:r w:rsidR="007B5B30">
        <w:t>Compareceu</w:t>
      </w:r>
      <w:r w:rsidRPr="00DF73EC">
        <w:t xml:space="preserve"> ao evento </w:t>
      </w:r>
      <w:r w:rsidR="006C0F6F">
        <w:t>o Dr. Almino Afonso Fernandes,</w:t>
      </w:r>
      <w:r w:rsidRPr="00DF73EC">
        <w:t xml:space="preserve"> Ouvidor do</w:t>
      </w:r>
      <w:r>
        <w:rPr>
          <w:rFonts w:cs="Calibri"/>
          <w:color w:val="3C3C3C"/>
          <w:sz w:val="28"/>
          <w:szCs w:val="28"/>
        </w:rPr>
        <w:t xml:space="preserve"> </w:t>
      </w:r>
      <w:r w:rsidRPr="00DF73EC">
        <w:t>Conselho Nacional do Ministério Público</w:t>
      </w:r>
      <w:r w:rsidR="007B5B30">
        <w:t xml:space="preserve"> – CNMP</w:t>
      </w:r>
      <w:r w:rsidRPr="00DF73EC">
        <w:t xml:space="preserve">, </w:t>
      </w:r>
      <w:r w:rsidR="007B5B30">
        <w:t xml:space="preserve">que </w:t>
      </w:r>
      <w:r w:rsidR="00347FF5">
        <w:t xml:space="preserve">falou sobre a </w:t>
      </w:r>
      <w:r w:rsidR="007B5B30">
        <w:t xml:space="preserve">importância da </w:t>
      </w:r>
      <w:r w:rsidR="00347FF5">
        <w:t>padronização dos relatórios das Ouvidorias do Ministério Público.</w:t>
      </w:r>
    </w:p>
    <w:p w:rsidR="00347FF5" w:rsidRDefault="002877E2" w:rsidP="00BF60F2">
      <w:pPr>
        <w:ind w:firstLine="709"/>
        <w:jc w:val="both"/>
      </w:pPr>
      <w:r>
        <w:t xml:space="preserve">Durante o evento, </w:t>
      </w:r>
      <w:r w:rsidR="00DF73EC" w:rsidRPr="00DF73EC">
        <w:t>proferiu uma</w:t>
      </w:r>
      <w:r>
        <w:t xml:space="preserve"> </w:t>
      </w:r>
      <w:r w:rsidR="00DF73EC" w:rsidRPr="00DF73EC">
        <w:t>palestra</w:t>
      </w:r>
      <w:r>
        <w:t xml:space="preserve"> </w:t>
      </w:r>
      <w:r w:rsidR="007B5B30">
        <w:t>o Dr. Ricardo Garcia França, Ouvidor-Geral da União Substituto</w:t>
      </w:r>
      <w:r w:rsidR="00347FF5">
        <w:t>.</w:t>
      </w:r>
    </w:p>
    <w:p w:rsidR="00347FF5" w:rsidRDefault="00347FF5" w:rsidP="00BF60F2">
      <w:pPr>
        <w:ind w:firstLine="709"/>
        <w:jc w:val="both"/>
      </w:pPr>
      <w:r>
        <w:t xml:space="preserve">Também proferiu uma palestra </w:t>
      </w:r>
      <w:r w:rsidR="007B5B30">
        <w:t>a Drª Telma Escóssio, Ouvidora do Tribunal de Contas dos Municípios do Estado do Ceará. Durante sua palestra ressaltou ela a importância da estreita colaboração entre o Tribunal de Contas dos Municípios</w:t>
      </w:r>
      <w:r w:rsidR="00BF6AD3">
        <w:t xml:space="preserve"> do Ceará e o Ministério Público. Dessa parceria tem resultado que inspeções do Tribunal de Contas têm sido acompanhadas por membros do Ministério Público, com tomada de providências imediatas, quando cabíveis e necessárias.</w:t>
      </w:r>
    </w:p>
    <w:p w:rsidR="007273A2" w:rsidRDefault="00BF6AD3" w:rsidP="006E46A9">
      <w:pPr>
        <w:ind w:firstLine="709"/>
        <w:jc w:val="both"/>
      </w:pPr>
      <w:r>
        <w:t>Nesse evento foram aprovadas as seis classes básicas em que serão classificadas as manifestações dirigidas à Ouvidoria do Ministério Público, o que permitirá a padronização dos relatórios, conforme almejado pelo Conselho Nacional do Ministério Público – CNMP. Em decorrência dessa decisão, nos próximos dias o formulário da Ouvidoria na Internet já apresentará aos manifestantes essas classes, que são ligeiramente di</w:t>
      </w:r>
      <w:r w:rsidR="00FE04CB">
        <w:t>ferentes das que hoje adotamos. São elas: Reclamação; Denúncia; Crítica; Sugestão; Solicitação de Providência e/ou Informação; e Elogio.</w:t>
      </w:r>
    </w:p>
    <w:p w:rsidR="00664B87" w:rsidRDefault="00664B87" w:rsidP="006E46A9">
      <w:pPr>
        <w:ind w:firstLine="709"/>
        <w:jc w:val="both"/>
      </w:pPr>
      <w:r>
        <w:t xml:space="preserve">No período de 10 a 25 de junho, </w:t>
      </w:r>
      <w:r w:rsidR="00263BF7">
        <w:t xml:space="preserve">durante nosso afastamento, </w:t>
      </w:r>
      <w:r>
        <w:t>fomos substituídos pelo Ouvidor Suplente, escolhido pelo Órgão Especial do Colégio de Procuradores de Justiça, Dr. Álvaro Augusto Fonseca de Arruda.</w:t>
      </w:r>
    </w:p>
    <w:p w:rsidR="00860F42" w:rsidRDefault="00860F42" w:rsidP="006E46A9">
      <w:pPr>
        <w:ind w:firstLine="709"/>
        <w:jc w:val="both"/>
      </w:pPr>
      <w:r>
        <w:t>A partir deste último trimestre, os relatórios serão extraídos apenas do módulo da Ouvidoria no SIS – MP</w:t>
      </w:r>
      <w:r w:rsidR="00263BF7">
        <w:t xml:space="preserve"> Integrado</w:t>
      </w:r>
      <w:r>
        <w:t>.</w:t>
      </w:r>
    </w:p>
    <w:p w:rsidR="00860F42" w:rsidRDefault="00B161A3" w:rsidP="00581447">
      <w:pPr>
        <w:ind w:firstLine="709"/>
        <w:jc w:val="both"/>
      </w:pPr>
      <w:r>
        <w:t xml:space="preserve">As manifestações dirigidas à Ouvidoria, </w:t>
      </w:r>
      <w:r w:rsidR="00FE08C9">
        <w:t xml:space="preserve">no </w:t>
      </w:r>
      <w:r w:rsidR="00FE04CB">
        <w:t>segundo</w:t>
      </w:r>
      <w:r w:rsidR="00593298">
        <w:t xml:space="preserve"> trimestre de 2</w:t>
      </w:r>
      <w:r w:rsidR="00030594">
        <w:t>.</w:t>
      </w:r>
      <w:r w:rsidR="00593298">
        <w:t>01</w:t>
      </w:r>
      <w:r w:rsidR="00E841DA">
        <w:t>3</w:t>
      </w:r>
      <w:r>
        <w:t xml:space="preserve">, </w:t>
      </w:r>
      <w:r w:rsidR="00FE04CB">
        <w:t>ficaram estabilizadas</w:t>
      </w:r>
      <w:r>
        <w:t>.</w:t>
      </w:r>
      <w:r w:rsidR="00FE04CB">
        <w:t xml:space="preserve"> Os números a seguir apresentados diminuíram, mas isso é resultado da falta de cadastramento dos telefonemas recebidos</w:t>
      </w:r>
      <w:r w:rsidR="00860F42">
        <w:t>, não propriamente da real diminuição dos contatos com a Ouvidoria</w:t>
      </w:r>
      <w:r w:rsidR="00FE04CB">
        <w:t xml:space="preserve">. </w:t>
      </w:r>
      <w:r w:rsidR="00860F42">
        <w:t>Esse cadastramento</w:t>
      </w:r>
      <w:r w:rsidR="00FE04CB">
        <w:t xml:space="preserve"> não está sendo feito em razão da exoneração, a pedido, de um funcionário que ainda não foi reposto pela Diretoria-Geral.</w:t>
      </w:r>
    </w:p>
    <w:p w:rsidR="00581447" w:rsidRDefault="00B161A3" w:rsidP="00581447">
      <w:pPr>
        <w:ind w:firstLine="709"/>
        <w:jc w:val="both"/>
      </w:pPr>
      <w:r>
        <w:lastRenderedPageBreak/>
        <w:t xml:space="preserve">No mês de </w:t>
      </w:r>
      <w:r w:rsidR="00FE04CB">
        <w:t>abril</w:t>
      </w:r>
      <w:r w:rsidR="00C41597">
        <w:t xml:space="preserve"> </w:t>
      </w:r>
      <w:r>
        <w:t xml:space="preserve">foram </w:t>
      </w:r>
      <w:r w:rsidR="00030594">
        <w:t>1.</w:t>
      </w:r>
      <w:r w:rsidR="00FE04CB">
        <w:t>377</w:t>
      </w:r>
      <w:r>
        <w:t xml:space="preserve"> (</w:t>
      </w:r>
      <w:r w:rsidR="00030594">
        <w:t>mil</w:t>
      </w:r>
      <w:r w:rsidR="00FE04CB">
        <w:t>, trezentos</w:t>
      </w:r>
      <w:r w:rsidR="007B433F">
        <w:t xml:space="preserve"> </w:t>
      </w:r>
      <w:r w:rsidR="00922FCF">
        <w:t xml:space="preserve">e </w:t>
      </w:r>
      <w:r w:rsidR="00FE04CB">
        <w:t>seten</w:t>
      </w:r>
      <w:r w:rsidR="008B0847">
        <w:t>ta</w:t>
      </w:r>
      <w:r w:rsidR="00922FCF">
        <w:t xml:space="preserve"> e </w:t>
      </w:r>
      <w:r w:rsidR="00FE04CB">
        <w:t>sete</w:t>
      </w:r>
      <w:r>
        <w:t xml:space="preserve">), em </w:t>
      </w:r>
      <w:r w:rsidR="00FE04CB">
        <w:t>maio</w:t>
      </w:r>
      <w:r>
        <w:t xml:space="preserve"> 1</w:t>
      </w:r>
      <w:r w:rsidR="00820723">
        <w:t>.</w:t>
      </w:r>
      <w:r w:rsidR="00FE04CB">
        <w:t>072</w:t>
      </w:r>
      <w:r>
        <w:t xml:space="preserve"> (mil</w:t>
      </w:r>
      <w:r w:rsidR="00FE04CB">
        <w:t xml:space="preserve"> e set</w:t>
      </w:r>
      <w:r w:rsidR="008B0847">
        <w:t xml:space="preserve">enta e </w:t>
      </w:r>
      <w:r w:rsidR="00FE04CB">
        <w:t>duas</w:t>
      </w:r>
      <w:r>
        <w:t xml:space="preserve">) e em </w:t>
      </w:r>
      <w:r w:rsidR="00FE04CB">
        <w:t>junho</w:t>
      </w:r>
      <w:r>
        <w:t xml:space="preserve"> 1</w:t>
      </w:r>
      <w:r w:rsidR="00820723">
        <w:t>.</w:t>
      </w:r>
      <w:r w:rsidR="005A7EFB">
        <w:t>22</w:t>
      </w:r>
      <w:r w:rsidR="008B0847">
        <w:t>1</w:t>
      </w:r>
      <w:r>
        <w:t xml:space="preserve"> (mil</w:t>
      </w:r>
      <w:r w:rsidR="008B0847">
        <w:t xml:space="preserve">, </w:t>
      </w:r>
      <w:r w:rsidR="005A7EFB">
        <w:t>duzentas</w:t>
      </w:r>
      <w:r w:rsidR="00BE024F">
        <w:t xml:space="preserve"> e </w:t>
      </w:r>
      <w:r w:rsidR="005A7EFB">
        <w:t>vinte</w:t>
      </w:r>
      <w:r w:rsidR="00BE024F">
        <w:t xml:space="preserve"> e </w:t>
      </w:r>
      <w:r w:rsidR="005A7EFB">
        <w:t>uma</w:t>
      </w:r>
      <w:r>
        <w:t>), resultando em 3.</w:t>
      </w:r>
      <w:r w:rsidR="005A7EFB">
        <w:t>670</w:t>
      </w:r>
      <w:r>
        <w:t xml:space="preserve"> (três mil, </w:t>
      </w:r>
      <w:r w:rsidR="005A7EFB">
        <w:t>seiscentas</w:t>
      </w:r>
      <w:r w:rsidR="00BE024F">
        <w:t xml:space="preserve"> e </w:t>
      </w:r>
      <w:r w:rsidR="005A7EFB">
        <w:t>setenta</w:t>
      </w:r>
      <w:r>
        <w:t xml:space="preserve">) manifestações no </w:t>
      </w:r>
      <w:r w:rsidR="005A7EFB">
        <w:t>2</w:t>
      </w:r>
      <w:r>
        <w:t>º trimestre de</w:t>
      </w:r>
      <w:r w:rsidR="00593298">
        <w:t xml:space="preserve"> 2</w:t>
      </w:r>
      <w:r w:rsidR="00030594">
        <w:t>.</w:t>
      </w:r>
      <w:r w:rsidR="00593298">
        <w:t>01</w:t>
      </w:r>
      <w:r w:rsidR="008B0847">
        <w:t>3</w:t>
      </w:r>
      <w:r>
        <w:t>.</w:t>
      </w:r>
      <w:r w:rsidR="007B433F">
        <w:t xml:space="preserve"> </w:t>
      </w:r>
      <w:r w:rsidR="00581447">
        <w:t xml:space="preserve">Esse número representa um </w:t>
      </w:r>
      <w:r w:rsidR="00664B87">
        <w:t>de</w:t>
      </w:r>
      <w:r w:rsidR="008B0847">
        <w:t xml:space="preserve">créscimo de </w:t>
      </w:r>
      <w:r w:rsidR="00664B87">
        <w:t>2,16</w:t>
      </w:r>
      <w:r w:rsidR="00581447">
        <w:t>% em relação ao trimestre an</w:t>
      </w:r>
      <w:r w:rsidR="00664B87">
        <w:t>terior e um crescimento de 0,82</w:t>
      </w:r>
      <w:r w:rsidR="00581447">
        <w:t xml:space="preserve">% em relação </w:t>
      </w:r>
      <w:r w:rsidR="008B0847">
        <w:t>ao mesmo período do ano de 2.012</w:t>
      </w:r>
      <w:r w:rsidR="00581447">
        <w:t>.</w:t>
      </w:r>
    </w:p>
    <w:p w:rsidR="00581447" w:rsidRDefault="00581447" w:rsidP="00581447">
      <w:pPr>
        <w:ind w:firstLine="709"/>
        <w:jc w:val="both"/>
      </w:pPr>
      <w:r>
        <w:t>Procuraram a Ouvidoria quer pessoalmente quer por telefone, sendo orientadas a r</w:t>
      </w:r>
      <w:r w:rsidR="008B0847">
        <w:t xml:space="preserve">espeito de suas preocupações </w:t>
      </w:r>
      <w:r w:rsidR="00860F42">
        <w:t>496</w:t>
      </w:r>
      <w:r>
        <w:t xml:space="preserve"> (</w:t>
      </w:r>
      <w:r w:rsidR="00860F42">
        <w:t>quatro</w:t>
      </w:r>
      <w:r w:rsidR="008B0847">
        <w:t>centas</w:t>
      </w:r>
      <w:r w:rsidR="00860F42">
        <w:t xml:space="preserve"> e nov</w:t>
      </w:r>
      <w:r>
        <w:t xml:space="preserve">enta e </w:t>
      </w:r>
      <w:r w:rsidR="00860F42">
        <w:t>seis</w:t>
      </w:r>
      <w:r>
        <w:t xml:space="preserve">) pessoas, sendo </w:t>
      </w:r>
      <w:r w:rsidR="00860F42">
        <w:t>478</w:t>
      </w:r>
      <w:r>
        <w:t xml:space="preserve"> (</w:t>
      </w:r>
      <w:r w:rsidR="00860F42">
        <w:t>quatro</w:t>
      </w:r>
      <w:r w:rsidR="008B0847">
        <w:t>centas</w:t>
      </w:r>
      <w:r>
        <w:t xml:space="preserve"> e setenta e </w:t>
      </w:r>
      <w:r w:rsidR="00860F42">
        <w:t>oito</w:t>
      </w:r>
      <w:r>
        <w:t xml:space="preserve">) por telefone e </w:t>
      </w:r>
      <w:r w:rsidR="00860F42">
        <w:t>18</w:t>
      </w:r>
      <w:r>
        <w:t xml:space="preserve"> (</w:t>
      </w:r>
      <w:r w:rsidR="00860F42">
        <w:t>dezoito</w:t>
      </w:r>
      <w:r>
        <w:t>) pessoalmente.</w:t>
      </w:r>
      <w:r w:rsidR="00860F42">
        <w:t xml:space="preserve"> Anote-se, mais uma vez, que a enorme queda do número de atendimentos telefônicos não corresponde à realidade fática, mas ao simples fato de estarmos trabalhando com um funcionário a menos e, por essa razão, não está sendo cadastrada a maioria das manifestações recebidas por telefone.</w:t>
      </w:r>
    </w:p>
    <w:p w:rsidR="00581447" w:rsidRDefault="00581447" w:rsidP="00581447">
      <w:pPr>
        <w:ind w:firstLine="709"/>
        <w:jc w:val="both"/>
      </w:pPr>
      <w:r>
        <w:t>As demais manifestaçõe</w:t>
      </w:r>
      <w:r w:rsidR="003E49B1">
        <w:t xml:space="preserve">s estão assim distribuídas: </w:t>
      </w:r>
      <w:r w:rsidR="00860F42">
        <w:t>3.133</w:t>
      </w:r>
      <w:r>
        <w:t xml:space="preserve"> (</w:t>
      </w:r>
      <w:r w:rsidR="00860F42">
        <w:t>três</w:t>
      </w:r>
      <w:r>
        <w:t xml:space="preserve"> mil, </w:t>
      </w:r>
      <w:r w:rsidR="00860F42">
        <w:t>cento</w:t>
      </w:r>
      <w:r>
        <w:t xml:space="preserve"> e </w:t>
      </w:r>
      <w:r w:rsidR="003E49B1">
        <w:t>trinta</w:t>
      </w:r>
      <w:r>
        <w:t xml:space="preserve"> e </w:t>
      </w:r>
      <w:r w:rsidR="00860F42">
        <w:t>três</w:t>
      </w:r>
      <w:r>
        <w:t>) me</w:t>
      </w:r>
      <w:r w:rsidR="003E49B1">
        <w:t xml:space="preserve">nsagens por meio eletrônico e </w:t>
      </w:r>
      <w:r w:rsidR="00860F42">
        <w:t>41</w:t>
      </w:r>
      <w:r>
        <w:t xml:space="preserve"> (</w:t>
      </w:r>
      <w:r w:rsidR="00860F42">
        <w:t>quarenta e uma</w:t>
      </w:r>
      <w:r>
        <w:t>) por carta.</w:t>
      </w:r>
    </w:p>
    <w:p w:rsidR="00581447" w:rsidRDefault="00581447" w:rsidP="00581447">
      <w:pPr>
        <w:ind w:firstLine="709"/>
        <w:jc w:val="both"/>
      </w:pPr>
      <w:r>
        <w:t>Foram encerradas 3.</w:t>
      </w:r>
      <w:r w:rsidR="00DD02BF">
        <w:t>541</w:t>
      </w:r>
      <w:r>
        <w:t xml:space="preserve"> (</w:t>
      </w:r>
      <w:r w:rsidR="003E49B1">
        <w:t xml:space="preserve">três mil, </w:t>
      </w:r>
      <w:r w:rsidR="00DD02BF">
        <w:t>quinhentas</w:t>
      </w:r>
      <w:r w:rsidR="003E49B1">
        <w:t xml:space="preserve"> e </w:t>
      </w:r>
      <w:r w:rsidR="00DD02BF">
        <w:t>quarenta</w:t>
      </w:r>
      <w:r w:rsidR="003E49B1">
        <w:t xml:space="preserve"> e </w:t>
      </w:r>
      <w:r w:rsidR="00DD02BF">
        <w:t>uma</w:t>
      </w:r>
      <w:r>
        <w:t>) manifestações</w:t>
      </w:r>
      <w:r w:rsidR="00DD02BF">
        <w:t xml:space="preserve"> e estão aguardando alguma providência 129 (cento e vinte e nove) manifestações</w:t>
      </w:r>
      <w:r w:rsidR="003E49B1">
        <w:t>.</w:t>
      </w: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As manifestações foram classificadas da seguinte forma: </w:t>
      </w:r>
    </w:p>
    <w:p w:rsidR="008340B6" w:rsidRDefault="008340B6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tbl>
      <w:tblPr>
        <w:tblStyle w:val="SombreamentoClaro-nfase1"/>
        <w:tblW w:w="8200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64" w:type="dxa"/>
            <w:noWrap/>
            <w:hideMark/>
          </w:tcPr>
          <w:p w:rsidR="00581447" w:rsidRDefault="00581447" w:rsidP="008E0D35">
            <w:pPr>
              <w:spacing w:after="0" w:line="240" w:lineRule="auto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Apreciações e comentários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</w:t>
            </w:r>
            <w:r w:rsidR="00DD02B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Críticas e elogios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Denúncias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677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960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Reclamações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3E49B1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1.</w:t>
            </w:r>
            <w:r w:rsidR="00DD02B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530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Sugestões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10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200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Diversos</w:t>
            </w:r>
          </w:p>
        </w:tc>
        <w:tc>
          <w:tcPr>
            <w:tcW w:w="764" w:type="dxa"/>
            <w:noWrap/>
            <w:vAlign w:val="bottom"/>
            <w:hideMark/>
          </w:tcPr>
          <w:p w:rsidR="00581447" w:rsidRPr="00605CBC" w:rsidRDefault="00DD02BF" w:rsidP="00DD02B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301</w:t>
            </w:r>
          </w:p>
        </w:tc>
      </w:tr>
    </w:tbl>
    <w:p w:rsidR="00581447" w:rsidRDefault="00581447" w:rsidP="00581447">
      <w:pPr>
        <w:jc w:val="both"/>
      </w:pPr>
    </w:p>
    <w:p w:rsidR="00581447" w:rsidRDefault="00581447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p w:rsidR="008340B6" w:rsidRDefault="008340B6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>As providências tomadas em relação às manifestações recebidas pela Ouvidoria estão relacionadas no quadro a seguir.</w:t>
      </w: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tbl>
      <w:tblPr>
        <w:tblStyle w:val="SombreamentoClaro-nfase1"/>
        <w:tblW w:w="8124" w:type="dxa"/>
        <w:tblLook w:val="04A0"/>
      </w:tblPr>
      <w:tblGrid>
        <w:gridCol w:w="7436"/>
        <w:gridCol w:w="764"/>
      </w:tblGrid>
      <w:tr w:rsidR="00581447" w:rsidRPr="00943512" w:rsidTr="008E0D35">
        <w:trPr>
          <w:cnfStyle w:val="100000000000"/>
          <w:trHeight w:val="402"/>
        </w:trPr>
        <w:tc>
          <w:tcPr>
            <w:cnfStyle w:val="001000000000"/>
            <w:tcW w:w="8124" w:type="dxa"/>
            <w:gridSpan w:val="2"/>
            <w:vMerge w:val="restart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PROVIDÊNCIAS 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8124" w:type="dxa"/>
            <w:gridSpan w:val="2"/>
            <w:vMerge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trHeight w:val="300"/>
        </w:trPr>
        <w:tc>
          <w:tcPr>
            <w:cnfStyle w:val="001000000000"/>
            <w:tcW w:w="8124" w:type="dxa"/>
            <w:gridSpan w:val="2"/>
            <w:noWrap/>
            <w:hideMark/>
          </w:tcPr>
          <w:p w:rsidR="00581447" w:rsidRPr="00605CBC" w:rsidRDefault="00581447" w:rsidP="008E0D3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Promotoria de Justiça da região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761F22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761F2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694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Cível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DD02B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ao CAO Criminal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5</w:t>
            </w:r>
            <w:r w:rsidR="00DD02B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a Grupos Especiais (GAECO/GEDUC/GAEMA</w:t>
            </w:r>
            <w:r w:rsidR="00761F22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/GECAP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/GECEP)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DD02B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134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AD4639" w:rsidTr="008E0D35">
        <w:trPr>
          <w:cnfStyle w:val="000000100000"/>
          <w:trHeight w:val="403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às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Procuradorias/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Subprocuradorias/CSMP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/G-PGJ                   7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                              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581447" w:rsidRPr="00AD4639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à 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Corregedoria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–</w:t>
            </w: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MPSP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          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DD02BF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DD02BF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Encaminhamento à DG/CRH/CEAF-ESMP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AD203A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25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Encaminhamento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 órgãos externos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Orientação e/ou esclarecimentos ao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manifestante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2.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081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605CBC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Arquivados por falta de elementos para seguimento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581447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Denúncias anônimas 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AD203A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9</w:t>
            </w:r>
            <w:r w:rsidR="00B8460E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AD20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Fichas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encerrad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367EC3" w:rsidP="008E0D35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3.75</w:t>
            </w:r>
            <w:r w:rsidR="004409AB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</w:tr>
      <w:tr w:rsidR="00581447" w:rsidRPr="00943512" w:rsidTr="008E0D35">
        <w:trPr>
          <w:trHeight w:val="199"/>
        </w:trPr>
        <w:tc>
          <w:tcPr>
            <w:cnfStyle w:val="001000000000"/>
            <w:tcW w:w="8124" w:type="dxa"/>
            <w:gridSpan w:val="2"/>
            <w:noWrap/>
            <w:vAlign w:val="bottom"/>
            <w:hideMark/>
          </w:tcPr>
          <w:p w:rsidR="00581447" w:rsidRPr="00605CBC" w:rsidRDefault="00581447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81447" w:rsidRPr="00943512" w:rsidTr="008E0D35">
        <w:trPr>
          <w:cnfStyle w:val="000000100000"/>
          <w:trHeight w:val="402"/>
        </w:trPr>
        <w:tc>
          <w:tcPr>
            <w:cnfStyle w:val="001000000000"/>
            <w:tcW w:w="7436" w:type="dxa"/>
            <w:noWrap/>
            <w:vAlign w:val="bottom"/>
            <w:hideMark/>
          </w:tcPr>
          <w:p w:rsidR="00581447" w:rsidRPr="00605CBC" w:rsidRDefault="00AD203A" w:rsidP="008E0D3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Ficha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s em andamento</w:t>
            </w:r>
          </w:p>
        </w:tc>
        <w:tc>
          <w:tcPr>
            <w:tcW w:w="688" w:type="dxa"/>
            <w:noWrap/>
            <w:vAlign w:val="bottom"/>
            <w:hideMark/>
          </w:tcPr>
          <w:p w:rsidR="00581447" w:rsidRPr="00605CBC" w:rsidRDefault="004409AB" w:rsidP="00AD203A">
            <w:pPr>
              <w:spacing w:after="0" w:line="240" w:lineRule="auto"/>
              <w:jc w:val="right"/>
              <w:cnfStyle w:val="00000010000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  </w:t>
            </w:r>
            <w:r w:rsidR="00AD203A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129</w:t>
            </w:r>
            <w:r w:rsidR="0058144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581447" w:rsidRDefault="00581447" w:rsidP="00581447">
      <w:pPr>
        <w:ind w:firstLine="709"/>
        <w:jc w:val="both"/>
      </w:pPr>
    </w:p>
    <w:p w:rsidR="00581447" w:rsidRDefault="00581447" w:rsidP="00581447">
      <w:pPr>
        <w:jc w:val="both"/>
      </w:pPr>
    </w:p>
    <w:p w:rsidR="008340B6" w:rsidRDefault="008340B6" w:rsidP="00581447">
      <w:pPr>
        <w:jc w:val="both"/>
      </w:pPr>
    </w:p>
    <w:p w:rsidR="00581447" w:rsidRDefault="00581447" w:rsidP="00581447">
      <w:pPr>
        <w:ind w:firstLine="709"/>
        <w:jc w:val="both"/>
      </w:pPr>
      <w:r>
        <w:lastRenderedPageBreak/>
        <w:t>Com relação às manifestações enviadas à Ouvidoria, podemos representá-las em dois gráficos distintos: o primeiro a respeito do tipo de manifestação recebida e o outro referente à forma como a sociedade entra em contato com a Ouvidoria.</w:t>
      </w:r>
    </w:p>
    <w:p w:rsidR="00581447" w:rsidRDefault="00581447" w:rsidP="00581447">
      <w:pPr>
        <w:ind w:firstLine="709"/>
        <w:jc w:val="both"/>
      </w:pPr>
    </w:p>
    <w:p w:rsidR="00581447" w:rsidRDefault="00761F22" w:rsidP="00581447">
      <w:pPr>
        <w:jc w:val="both"/>
      </w:pPr>
      <w:r>
        <w:rPr>
          <w:noProof/>
          <w:color w:val="FF000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1447" w:rsidRDefault="00111CC1" w:rsidP="00581447">
      <w:pPr>
        <w:spacing w:after="0" w:line="240" w:lineRule="auto"/>
      </w:pPr>
      <w:r>
        <w:rPr>
          <w:noProof/>
          <w:color w:val="7030A0"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81447" w:rsidRDefault="00581447" w:rsidP="00581447">
      <w:pPr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  <w:r>
        <w:t xml:space="preserve">Desde a instalação da Ouvidoria em março de 2.011 até </w:t>
      </w:r>
      <w:r w:rsidR="00111CC1">
        <w:t>os dias de hoje,</w:t>
      </w:r>
      <w:r>
        <w:t xml:space="preserve"> o número de contatos com a Ouvidoria só tem crescido. O gráfico seguinte demonstra a evolução, mês a mês, da quantidade de manifestações recebidas.</w:t>
      </w:r>
    </w:p>
    <w:p w:rsidR="00C37874" w:rsidRDefault="00C37874" w:rsidP="00581447">
      <w:pPr>
        <w:ind w:firstLine="709"/>
        <w:jc w:val="both"/>
      </w:pPr>
    </w:p>
    <w:p w:rsidR="00C37874" w:rsidRDefault="00C37874" w:rsidP="00581447">
      <w:pPr>
        <w:ind w:firstLine="709"/>
        <w:jc w:val="both"/>
      </w:pPr>
    </w:p>
    <w:p w:rsidR="00581447" w:rsidRDefault="00111CC1" w:rsidP="00581447">
      <w:pPr>
        <w:jc w:val="both"/>
      </w:pPr>
      <w:r>
        <w:rPr>
          <w:noProof/>
          <w:lang w:eastAsia="pt-BR"/>
        </w:rPr>
        <w:drawing>
          <wp:inline distT="0" distB="0" distL="0" distR="0">
            <wp:extent cx="5400040" cy="3150235"/>
            <wp:effectExtent l="0" t="0" r="10160" b="1206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81447" w:rsidRDefault="00581447" w:rsidP="00581447">
      <w:pPr>
        <w:ind w:firstLine="709"/>
        <w:jc w:val="both"/>
      </w:pPr>
    </w:p>
    <w:p w:rsidR="00C37874" w:rsidRDefault="00C37874" w:rsidP="00581447">
      <w:pPr>
        <w:ind w:firstLine="709"/>
        <w:jc w:val="both"/>
      </w:pPr>
      <w:r>
        <w:t>Como se vê pelos gráficos acima, a</w:t>
      </w:r>
      <w:r w:rsidR="00581447">
        <w:t xml:space="preserve"> Ouvidoria consolidou-se como importante intermediadora entre a sociedade e os diversos setores do Ministério Público.</w:t>
      </w:r>
    </w:p>
    <w:p w:rsidR="00B27FC0" w:rsidRDefault="00B27FC0" w:rsidP="00581447">
      <w:pPr>
        <w:ind w:firstLine="709"/>
        <w:jc w:val="both"/>
      </w:pPr>
    </w:p>
    <w:p w:rsidR="00263BF7" w:rsidRDefault="00263BF7" w:rsidP="00581447">
      <w:pPr>
        <w:ind w:firstLine="709"/>
        <w:jc w:val="both"/>
      </w:pPr>
      <w:r>
        <w:t xml:space="preserve">Por ordem decrescente, </w:t>
      </w:r>
      <w:r w:rsidR="00B27FC0">
        <w:t xml:space="preserve">por temas, </w:t>
      </w:r>
      <w:r>
        <w:t>as maiores demandas dirigidas à Ouvidoria foram:</w:t>
      </w:r>
    </w:p>
    <w:p w:rsidR="00263BF7" w:rsidRDefault="00263BF7" w:rsidP="00581447">
      <w:pPr>
        <w:ind w:firstLine="709"/>
        <w:jc w:val="both"/>
      </w:pPr>
      <w:r>
        <w:t>I – questões relativas às relações de consumo – 261;</w:t>
      </w:r>
    </w:p>
    <w:p w:rsidR="00263BF7" w:rsidRDefault="00263BF7" w:rsidP="00581447">
      <w:pPr>
        <w:ind w:firstLine="709"/>
        <w:jc w:val="both"/>
      </w:pPr>
      <w:r>
        <w:t>II – questões relativas à educação – 157;</w:t>
      </w:r>
    </w:p>
    <w:p w:rsidR="00263BF7" w:rsidRDefault="00263BF7" w:rsidP="00581447">
      <w:pPr>
        <w:ind w:firstLine="709"/>
        <w:jc w:val="both"/>
      </w:pPr>
      <w:r>
        <w:t>III – questões relativas à saúde pública – 116;</w:t>
      </w:r>
    </w:p>
    <w:p w:rsidR="00263BF7" w:rsidRDefault="00263BF7" w:rsidP="00581447">
      <w:pPr>
        <w:ind w:firstLine="709"/>
        <w:jc w:val="both"/>
      </w:pPr>
      <w:r>
        <w:t>IV – questões relativas ao patrimônio público – 56;</w:t>
      </w:r>
    </w:p>
    <w:p w:rsidR="00263BF7" w:rsidRDefault="00263BF7" w:rsidP="00581447">
      <w:pPr>
        <w:ind w:firstLine="709"/>
        <w:jc w:val="both"/>
      </w:pPr>
      <w:r>
        <w:t>V – questões relativas ao meio ambiente – 45; e</w:t>
      </w:r>
    </w:p>
    <w:p w:rsidR="00263BF7" w:rsidRDefault="00263BF7" w:rsidP="00581447">
      <w:pPr>
        <w:ind w:firstLine="709"/>
        <w:jc w:val="both"/>
      </w:pPr>
      <w:r>
        <w:t xml:space="preserve">VI – questões relativas </w:t>
      </w:r>
      <w:r w:rsidR="00B27FC0">
        <w:t>à</w:t>
      </w:r>
      <w:r>
        <w:t xml:space="preserve"> habitação e urbanismo – 39.</w:t>
      </w:r>
    </w:p>
    <w:p w:rsidR="00581447" w:rsidRDefault="00B27FC0" w:rsidP="00581447">
      <w:pPr>
        <w:ind w:firstLine="709"/>
        <w:jc w:val="both"/>
      </w:pPr>
      <w:r>
        <w:t>A orientação aos manifestantes a respeito de temas diversos, as queixas relativas a prática de crimes e de questões que estão fora das atribuições do Ministério Público, além de assuntos relacionados a nossos concursos, dominaram as manifestações dirigidas à Ouvidoria</w:t>
      </w:r>
      <w:r w:rsidR="00581447">
        <w:t>.</w:t>
      </w:r>
      <w:r>
        <w:t xml:space="preserve"> No entanto, a relevância maior da Ouvidoria destaca-se nos seis tópicos acima mencionados, por sua repercussão na sociedade extrapolar o âmbito individual.</w:t>
      </w:r>
    </w:p>
    <w:p w:rsidR="00B27FC0" w:rsidRDefault="00B27FC0" w:rsidP="00581447">
      <w:pPr>
        <w:ind w:firstLine="709"/>
        <w:jc w:val="both"/>
      </w:pPr>
      <w:bookmarkStart w:id="0" w:name="_GoBack"/>
      <w:bookmarkEnd w:id="0"/>
    </w:p>
    <w:p w:rsidR="00581447" w:rsidRDefault="00B27FC0" w:rsidP="00581447">
      <w:pPr>
        <w:ind w:firstLine="709"/>
        <w:jc w:val="both"/>
      </w:pPr>
      <w:r>
        <w:lastRenderedPageBreak/>
        <w:t>Estes os aspectos mais relevantes da atuação da Ouvidoria do Ministério Público do Estado de São Paulo neste segundo trimestre de 2.013.</w:t>
      </w:r>
    </w:p>
    <w:p w:rsidR="00581447" w:rsidRDefault="00581447" w:rsidP="00581447">
      <w:pPr>
        <w:ind w:firstLine="709"/>
        <w:jc w:val="both"/>
      </w:pPr>
    </w:p>
    <w:p w:rsidR="00581447" w:rsidRDefault="00581447" w:rsidP="00581447">
      <w:pPr>
        <w:ind w:firstLine="709"/>
        <w:jc w:val="both"/>
      </w:pPr>
    </w:p>
    <w:p w:rsidR="00581447" w:rsidRPr="00FF4D02" w:rsidRDefault="00581447" w:rsidP="00581447">
      <w:pPr>
        <w:spacing w:after="0"/>
        <w:jc w:val="center"/>
        <w:rPr>
          <w:b/>
        </w:rPr>
      </w:pPr>
      <w:r w:rsidRPr="00FF4D02">
        <w:rPr>
          <w:b/>
        </w:rPr>
        <w:t>Fernando José Marques</w:t>
      </w:r>
    </w:p>
    <w:p w:rsidR="00581447" w:rsidRDefault="00581447" w:rsidP="00581447">
      <w:pPr>
        <w:spacing w:after="0"/>
        <w:jc w:val="center"/>
      </w:pPr>
      <w:r>
        <w:t>Procurador de Justiça</w:t>
      </w:r>
    </w:p>
    <w:p w:rsidR="00581447" w:rsidRDefault="00581447" w:rsidP="00581447">
      <w:pPr>
        <w:spacing w:after="0"/>
        <w:jc w:val="center"/>
      </w:pPr>
      <w:r>
        <w:t>Ouvidor</w:t>
      </w:r>
    </w:p>
    <w:p w:rsidR="00581447" w:rsidRDefault="00581447" w:rsidP="00581447">
      <w:pPr>
        <w:ind w:firstLine="709"/>
        <w:jc w:val="both"/>
      </w:pPr>
    </w:p>
    <w:sectPr w:rsidR="00581447" w:rsidSect="0005423C">
      <w:footerReference w:type="default" r:id="rId10"/>
      <w:pgSz w:w="11906" w:h="16838"/>
      <w:pgMar w:top="1418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49A" w:rsidRDefault="00E1249A" w:rsidP="0080377D">
      <w:pPr>
        <w:spacing w:after="0" w:line="240" w:lineRule="auto"/>
      </w:pPr>
      <w:r>
        <w:separator/>
      </w:r>
    </w:p>
  </w:endnote>
  <w:endnote w:type="continuationSeparator" w:id="0">
    <w:p w:rsidR="00E1249A" w:rsidRDefault="00E1249A" w:rsidP="008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90F" w:rsidRDefault="00936113">
    <w:pPr>
      <w:pStyle w:val="Rodap"/>
      <w:jc w:val="right"/>
    </w:pPr>
    <w:r>
      <w:fldChar w:fldCharType="begin"/>
    </w:r>
    <w:r w:rsidR="005112D2">
      <w:instrText xml:space="preserve"> PAGE   \* MERGEFORMAT </w:instrText>
    </w:r>
    <w:r>
      <w:fldChar w:fldCharType="separate"/>
    </w:r>
    <w:r w:rsidR="00770538">
      <w:rPr>
        <w:noProof/>
      </w:rPr>
      <w:t>1</w:t>
    </w:r>
    <w:r>
      <w:rPr>
        <w:noProof/>
      </w:rPr>
      <w:fldChar w:fldCharType="end"/>
    </w:r>
  </w:p>
  <w:p w:rsidR="008A690F" w:rsidRDefault="008A690F" w:rsidP="0080377D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49A" w:rsidRDefault="00E1249A" w:rsidP="0080377D">
      <w:pPr>
        <w:spacing w:after="0" w:line="240" w:lineRule="auto"/>
      </w:pPr>
      <w:r>
        <w:separator/>
      </w:r>
    </w:p>
  </w:footnote>
  <w:footnote w:type="continuationSeparator" w:id="0">
    <w:p w:rsidR="00E1249A" w:rsidRDefault="00E1249A" w:rsidP="0080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DD1"/>
    <w:rsid w:val="0001270B"/>
    <w:rsid w:val="0001698F"/>
    <w:rsid w:val="0002107A"/>
    <w:rsid w:val="00022FB6"/>
    <w:rsid w:val="00030594"/>
    <w:rsid w:val="0005423C"/>
    <w:rsid w:val="000605FD"/>
    <w:rsid w:val="000671B9"/>
    <w:rsid w:val="00076904"/>
    <w:rsid w:val="000830B8"/>
    <w:rsid w:val="000A2BB2"/>
    <w:rsid w:val="000B7B58"/>
    <w:rsid w:val="000C28E4"/>
    <w:rsid w:val="000E5F22"/>
    <w:rsid w:val="00111CC1"/>
    <w:rsid w:val="00116EC3"/>
    <w:rsid w:val="00131766"/>
    <w:rsid w:val="00136B17"/>
    <w:rsid w:val="0014161E"/>
    <w:rsid w:val="00160DFA"/>
    <w:rsid w:val="00191691"/>
    <w:rsid w:val="001A6892"/>
    <w:rsid w:val="001C5A10"/>
    <w:rsid w:val="001D02D6"/>
    <w:rsid w:val="001F1C0D"/>
    <w:rsid w:val="002071F7"/>
    <w:rsid w:val="002578DB"/>
    <w:rsid w:val="00263BF7"/>
    <w:rsid w:val="00273EF1"/>
    <w:rsid w:val="00280B0E"/>
    <w:rsid w:val="002877E2"/>
    <w:rsid w:val="002950C3"/>
    <w:rsid w:val="002A2315"/>
    <w:rsid w:val="002B58E8"/>
    <w:rsid w:val="002C3E27"/>
    <w:rsid w:val="002C4B10"/>
    <w:rsid w:val="002D0702"/>
    <w:rsid w:val="002E647C"/>
    <w:rsid w:val="00301971"/>
    <w:rsid w:val="0031206A"/>
    <w:rsid w:val="00313760"/>
    <w:rsid w:val="003410E5"/>
    <w:rsid w:val="00341395"/>
    <w:rsid w:val="00342774"/>
    <w:rsid w:val="00343CA4"/>
    <w:rsid w:val="00347FF5"/>
    <w:rsid w:val="0035713D"/>
    <w:rsid w:val="0036073B"/>
    <w:rsid w:val="00367EC3"/>
    <w:rsid w:val="00371EE2"/>
    <w:rsid w:val="003A2DC6"/>
    <w:rsid w:val="003B116E"/>
    <w:rsid w:val="003C257A"/>
    <w:rsid w:val="003C7BBE"/>
    <w:rsid w:val="003D0737"/>
    <w:rsid w:val="003E49B1"/>
    <w:rsid w:val="0040443F"/>
    <w:rsid w:val="00420F59"/>
    <w:rsid w:val="00434155"/>
    <w:rsid w:val="00435CC5"/>
    <w:rsid w:val="004409AB"/>
    <w:rsid w:val="00464E85"/>
    <w:rsid w:val="00465AF3"/>
    <w:rsid w:val="004902D1"/>
    <w:rsid w:val="00496613"/>
    <w:rsid w:val="00503B1D"/>
    <w:rsid w:val="005112D2"/>
    <w:rsid w:val="005215D4"/>
    <w:rsid w:val="00524B2B"/>
    <w:rsid w:val="005306BB"/>
    <w:rsid w:val="0054379A"/>
    <w:rsid w:val="005607D5"/>
    <w:rsid w:val="005742BA"/>
    <w:rsid w:val="00581447"/>
    <w:rsid w:val="00586D61"/>
    <w:rsid w:val="00587FE0"/>
    <w:rsid w:val="00593298"/>
    <w:rsid w:val="005A7EFB"/>
    <w:rsid w:val="005C6141"/>
    <w:rsid w:val="005D4C6A"/>
    <w:rsid w:val="005D5B6A"/>
    <w:rsid w:val="005E4E1E"/>
    <w:rsid w:val="00602EEC"/>
    <w:rsid w:val="00605CBC"/>
    <w:rsid w:val="006120AC"/>
    <w:rsid w:val="0063706E"/>
    <w:rsid w:val="006646B3"/>
    <w:rsid w:val="00664B87"/>
    <w:rsid w:val="0067531F"/>
    <w:rsid w:val="006865FB"/>
    <w:rsid w:val="006A4604"/>
    <w:rsid w:val="006C0F6F"/>
    <w:rsid w:val="006C35C0"/>
    <w:rsid w:val="006D74C9"/>
    <w:rsid w:val="006E46A9"/>
    <w:rsid w:val="007154CB"/>
    <w:rsid w:val="00715B25"/>
    <w:rsid w:val="00715B68"/>
    <w:rsid w:val="00725B1A"/>
    <w:rsid w:val="007273A2"/>
    <w:rsid w:val="007331D4"/>
    <w:rsid w:val="00736E34"/>
    <w:rsid w:val="00737A3E"/>
    <w:rsid w:val="007406B8"/>
    <w:rsid w:val="007416F4"/>
    <w:rsid w:val="00741B81"/>
    <w:rsid w:val="007460BE"/>
    <w:rsid w:val="00761F22"/>
    <w:rsid w:val="00766328"/>
    <w:rsid w:val="00770538"/>
    <w:rsid w:val="007833FF"/>
    <w:rsid w:val="007A3DDB"/>
    <w:rsid w:val="007B178E"/>
    <w:rsid w:val="007B2891"/>
    <w:rsid w:val="007B433F"/>
    <w:rsid w:val="007B5B30"/>
    <w:rsid w:val="007C7EEB"/>
    <w:rsid w:val="007D3755"/>
    <w:rsid w:val="007D5F91"/>
    <w:rsid w:val="0080377D"/>
    <w:rsid w:val="00820723"/>
    <w:rsid w:val="00832810"/>
    <w:rsid w:val="008340B6"/>
    <w:rsid w:val="00846FB0"/>
    <w:rsid w:val="008600D5"/>
    <w:rsid w:val="00860F42"/>
    <w:rsid w:val="008737A0"/>
    <w:rsid w:val="00877F1B"/>
    <w:rsid w:val="0089745A"/>
    <w:rsid w:val="008A690F"/>
    <w:rsid w:val="008B0847"/>
    <w:rsid w:val="008B5020"/>
    <w:rsid w:val="008C2928"/>
    <w:rsid w:val="008D3FEA"/>
    <w:rsid w:val="008D5443"/>
    <w:rsid w:val="008E30BF"/>
    <w:rsid w:val="00901CA5"/>
    <w:rsid w:val="0090491F"/>
    <w:rsid w:val="00922FCF"/>
    <w:rsid w:val="00931D9B"/>
    <w:rsid w:val="00936113"/>
    <w:rsid w:val="00943512"/>
    <w:rsid w:val="00962D64"/>
    <w:rsid w:val="00967574"/>
    <w:rsid w:val="0097289D"/>
    <w:rsid w:val="00976069"/>
    <w:rsid w:val="00985907"/>
    <w:rsid w:val="009A0D1A"/>
    <w:rsid w:val="009B4C39"/>
    <w:rsid w:val="009B7DF5"/>
    <w:rsid w:val="009C5DD1"/>
    <w:rsid w:val="009F09FD"/>
    <w:rsid w:val="00A21390"/>
    <w:rsid w:val="00A35589"/>
    <w:rsid w:val="00A366BA"/>
    <w:rsid w:val="00A66324"/>
    <w:rsid w:val="00AD203A"/>
    <w:rsid w:val="00AD4639"/>
    <w:rsid w:val="00AF77E6"/>
    <w:rsid w:val="00B0220B"/>
    <w:rsid w:val="00B12B38"/>
    <w:rsid w:val="00B161A3"/>
    <w:rsid w:val="00B27FC0"/>
    <w:rsid w:val="00B36C67"/>
    <w:rsid w:val="00B65501"/>
    <w:rsid w:val="00B8460E"/>
    <w:rsid w:val="00B84DFB"/>
    <w:rsid w:val="00B9134B"/>
    <w:rsid w:val="00BD3AA1"/>
    <w:rsid w:val="00BD52D5"/>
    <w:rsid w:val="00BE024F"/>
    <w:rsid w:val="00BF60F2"/>
    <w:rsid w:val="00BF6AD3"/>
    <w:rsid w:val="00C10AF5"/>
    <w:rsid w:val="00C14463"/>
    <w:rsid w:val="00C307FC"/>
    <w:rsid w:val="00C37874"/>
    <w:rsid w:val="00C41597"/>
    <w:rsid w:val="00C42D7D"/>
    <w:rsid w:val="00C60759"/>
    <w:rsid w:val="00C928EA"/>
    <w:rsid w:val="00C93392"/>
    <w:rsid w:val="00CA589B"/>
    <w:rsid w:val="00CB70CD"/>
    <w:rsid w:val="00CD7A90"/>
    <w:rsid w:val="00CD7C74"/>
    <w:rsid w:val="00D017AA"/>
    <w:rsid w:val="00D06AAD"/>
    <w:rsid w:val="00D2106A"/>
    <w:rsid w:val="00D279D2"/>
    <w:rsid w:val="00D43645"/>
    <w:rsid w:val="00D44E20"/>
    <w:rsid w:val="00D57AAF"/>
    <w:rsid w:val="00D70A5D"/>
    <w:rsid w:val="00D70DB9"/>
    <w:rsid w:val="00D778E3"/>
    <w:rsid w:val="00D872F1"/>
    <w:rsid w:val="00D92DCD"/>
    <w:rsid w:val="00DA25F9"/>
    <w:rsid w:val="00DC03AE"/>
    <w:rsid w:val="00DD02BF"/>
    <w:rsid w:val="00DD4B05"/>
    <w:rsid w:val="00DD5C30"/>
    <w:rsid w:val="00DF1F38"/>
    <w:rsid w:val="00DF73EC"/>
    <w:rsid w:val="00E05FED"/>
    <w:rsid w:val="00E1249A"/>
    <w:rsid w:val="00E161D4"/>
    <w:rsid w:val="00E247DC"/>
    <w:rsid w:val="00E35A47"/>
    <w:rsid w:val="00E35A75"/>
    <w:rsid w:val="00E401F5"/>
    <w:rsid w:val="00E55079"/>
    <w:rsid w:val="00E6011C"/>
    <w:rsid w:val="00E75EE8"/>
    <w:rsid w:val="00E761A0"/>
    <w:rsid w:val="00E841DA"/>
    <w:rsid w:val="00ED217F"/>
    <w:rsid w:val="00ED535F"/>
    <w:rsid w:val="00ED638C"/>
    <w:rsid w:val="00EF0761"/>
    <w:rsid w:val="00EF2E2E"/>
    <w:rsid w:val="00F06532"/>
    <w:rsid w:val="00F12A71"/>
    <w:rsid w:val="00F13668"/>
    <w:rsid w:val="00F277C4"/>
    <w:rsid w:val="00F36829"/>
    <w:rsid w:val="00F73BBC"/>
    <w:rsid w:val="00F83B2A"/>
    <w:rsid w:val="00F87E5D"/>
    <w:rsid w:val="00FB50C0"/>
    <w:rsid w:val="00FC7028"/>
    <w:rsid w:val="00FE04CB"/>
    <w:rsid w:val="00FE08C9"/>
    <w:rsid w:val="00FE29F0"/>
    <w:rsid w:val="00FF3B7D"/>
    <w:rsid w:val="00FF4D02"/>
    <w:rsid w:val="00FF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A7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9728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89D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B1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377D"/>
  </w:style>
  <w:style w:type="paragraph" w:styleId="Rodap">
    <w:name w:val="footer"/>
    <w:basedOn w:val="Normal"/>
    <w:link w:val="RodapChar"/>
    <w:uiPriority w:val="99"/>
    <w:unhideWhenUsed/>
    <w:rsid w:val="00803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377D"/>
  </w:style>
  <w:style w:type="table" w:styleId="Tabelacomgrade">
    <w:name w:val="Table Grid"/>
    <w:basedOn w:val="Tabelanormal"/>
    <w:uiPriority w:val="59"/>
    <w:rsid w:val="002B58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B58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D2106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explosion val="25"/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6"/>
            <c:spPr>
              <a:solidFill>
                <a:srgbClr val="92D050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elete val="1"/>
          </c:dLbls>
          <c:cat>
            <c:strRef>
              <c:f>Plan1!$A$2:$A$8</c:f>
              <c:strCache>
                <c:ptCount val="7"/>
                <c:pt idx="0">
                  <c:v>Apreciações e Comentários</c:v>
                </c:pt>
                <c:pt idx="1">
                  <c:v>Críticas e Elogios</c:v>
                </c:pt>
                <c:pt idx="2">
                  <c:v>Denúncias</c:v>
                </c:pt>
                <c:pt idx="3">
                  <c:v>Pedidos de Informações</c:v>
                </c:pt>
                <c:pt idx="4">
                  <c:v>Reclamações</c:v>
                </c:pt>
                <c:pt idx="5">
                  <c:v>Sugestões</c:v>
                </c:pt>
                <c:pt idx="6">
                  <c:v>Diversos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156</c:v>
                </c:pt>
                <c:pt idx="1">
                  <c:v>36</c:v>
                </c:pt>
                <c:pt idx="2">
                  <c:v>677</c:v>
                </c:pt>
                <c:pt idx="3">
                  <c:v>960</c:v>
                </c:pt>
                <c:pt idx="4">
                  <c:v>1530</c:v>
                </c:pt>
                <c:pt idx="5">
                  <c:v>10</c:v>
                </c:pt>
                <c:pt idx="6">
                  <c:v>301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Acesso à Ouvidoria</c:v>
                </c:pt>
              </c:strCache>
            </c:strRef>
          </c:tx>
          <c:spPr>
            <a:solidFill>
              <a:srgbClr val="FF0000"/>
            </a:solidFill>
          </c:spPr>
          <c:explosion val="25"/>
          <c:dPt>
            <c:idx val="1"/>
            <c:spPr>
              <a:solidFill>
                <a:srgbClr val="00B0F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rgbClr val="7030A0"/>
              </a:solidFill>
            </c:spPr>
          </c:dPt>
          <c:dLbls>
            <c:showVal val="1"/>
            <c:showLeaderLines val="1"/>
          </c:dLbls>
          <c:cat>
            <c:strRef>
              <c:f>Plan1!$A$2:$A$5</c:f>
              <c:strCache>
                <c:ptCount val="4"/>
                <c:pt idx="0">
                  <c:v>E-mail</c:v>
                </c:pt>
                <c:pt idx="1">
                  <c:v>Telefone</c:v>
                </c:pt>
                <c:pt idx="2">
                  <c:v>Carta</c:v>
                </c:pt>
                <c:pt idx="3">
                  <c:v>Pessoalmente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3133</c:v>
                </c:pt>
                <c:pt idx="1">
                  <c:v>478</c:v>
                </c:pt>
                <c:pt idx="2">
                  <c:v>41</c:v>
                </c:pt>
                <c:pt idx="3">
                  <c:v>18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2.011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Plan1!$B$2:$B$13</c:f>
              <c:numCache>
                <c:formatCode>General</c:formatCode>
                <c:ptCount val="12"/>
                <c:pt idx="2">
                  <c:v>277</c:v>
                </c:pt>
                <c:pt idx="3">
                  <c:v>668</c:v>
                </c:pt>
                <c:pt idx="4">
                  <c:v>826</c:v>
                </c:pt>
                <c:pt idx="5">
                  <c:v>882</c:v>
                </c:pt>
                <c:pt idx="6">
                  <c:v>888</c:v>
                </c:pt>
                <c:pt idx="7" formatCode="#,##0">
                  <c:v>1102</c:v>
                </c:pt>
                <c:pt idx="8" formatCode="#,##0">
                  <c:v>1183</c:v>
                </c:pt>
                <c:pt idx="9">
                  <c:v>912</c:v>
                </c:pt>
                <c:pt idx="10" formatCode="#,##0">
                  <c:v>1166</c:v>
                </c:pt>
                <c:pt idx="11" formatCode="#,##0">
                  <c:v>1040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2.012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Plan1!$C$2:$C$13</c:f>
              <c:numCache>
                <c:formatCode>#,##0</c:formatCode>
                <c:ptCount val="12"/>
                <c:pt idx="0">
                  <c:v>1015</c:v>
                </c:pt>
                <c:pt idx="1">
                  <c:v>1060</c:v>
                </c:pt>
                <c:pt idx="2">
                  <c:v>1258</c:v>
                </c:pt>
                <c:pt idx="3">
                  <c:v>1184</c:v>
                </c:pt>
                <c:pt idx="4">
                  <c:v>1302</c:v>
                </c:pt>
                <c:pt idx="5">
                  <c:v>1154</c:v>
                </c:pt>
                <c:pt idx="6">
                  <c:v>1226</c:v>
                </c:pt>
                <c:pt idx="7">
                  <c:v>1329</c:v>
                </c:pt>
                <c:pt idx="8">
                  <c:v>1115</c:v>
                </c:pt>
                <c:pt idx="9">
                  <c:v>1353</c:v>
                </c:pt>
                <c:pt idx="10">
                  <c:v>1150</c:v>
                </c:pt>
                <c:pt idx="11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2.013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Plan1!$A$2:$A$13</c:f>
              <c:strCache>
                <c:ptCount val="12"/>
                <c:pt idx="0">
                  <c:v>Janeiro</c:v>
                </c:pt>
                <c:pt idx="1">
                  <c:v>Fevereiro</c:v>
                </c:pt>
                <c:pt idx="2">
                  <c:v>Março</c:v>
                </c:pt>
                <c:pt idx="3">
                  <c:v>Abril</c:v>
                </c:pt>
                <c:pt idx="4">
                  <c:v>Maio</c:v>
                </c:pt>
                <c:pt idx="5">
                  <c:v>Junho</c:v>
                </c:pt>
                <c:pt idx="6">
                  <c:v>Julho</c:v>
                </c:pt>
                <c:pt idx="7">
                  <c:v>Agosto</c:v>
                </c:pt>
                <c:pt idx="8">
                  <c:v>Setembro</c:v>
                </c:pt>
                <c:pt idx="9">
                  <c:v>Outubro</c:v>
                </c:pt>
                <c:pt idx="10">
                  <c:v>Novembro</c:v>
                </c:pt>
                <c:pt idx="11">
                  <c:v>Dezembro</c:v>
                </c:pt>
              </c:strCache>
            </c:strRef>
          </c:cat>
          <c:val>
            <c:numRef>
              <c:f>Plan1!$D$2:$D$13</c:f>
              <c:numCache>
                <c:formatCode>#,##0</c:formatCode>
                <c:ptCount val="12"/>
                <c:pt idx="0">
                  <c:v>1288</c:v>
                </c:pt>
                <c:pt idx="1">
                  <c:v>1293</c:v>
                </c:pt>
                <c:pt idx="2">
                  <c:v>1178</c:v>
                </c:pt>
                <c:pt idx="3">
                  <c:v>1377</c:v>
                </c:pt>
                <c:pt idx="4">
                  <c:v>1072</c:v>
                </c:pt>
                <c:pt idx="5">
                  <c:v>1221</c:v>
                </c:pt>
              </c:numCache>
            </c:numRef>
          </c:val>
        </c:ser>
        <c:axId val="64869888"/>
        <c:axId val="64871424"/>
      </c:barChart>
      <c:catAx>
        <c:axId val="64869888"/>
        <c:scaling>
          <c:orientation val="minMax"/>
        </c:scaling>
        <c:axPos val="b"/>
        <c:tickLblPos val="nextTo"/>
        <c:crossAx val="64871424"/>
        <c:crosses val="autoZero"/>
        <c:auto val="1"/>
        <c:lblAlgn val="ctr"/>
        <c:lblOffset val="100"/>
      </c:catAx>
      <c:valAx>
        <c:axId val="64871424"/>
        <c:scaling>
          <c:orientation val="minMax"/>
        </c:scaling>
        <c:axPos val="l"/>
        <c:majorGridlines/>
        <c:numFmt formatCode="General" sourceLinked="1"/>
        <c:tickLblPos val="nextTo"/>
        <c:crossAx val="648698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BCF21-3BF9-4CB6-B4F2-7C7AC9C9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1000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MPSP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2</cp:revision>
  <cp:lastPrinted>2012-04-11T17:59:00Z</cp:lastPrinted>
  <dcterms:created xsi:type="dcterms:W3CDTF">2013-07-05T17:40:00Z</dcterms:created>
  <dcterms:modified xsi:type="dcterms:W3CDTF">2013-07-05T17:40:00Z</dcterms:modified>
</cp:coreProperties>
</file>