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CA3BF3">
        <w:rPr>
          <w:sz w:val="32"/>
          <w:szCs w:val="32"/>
        </w:rPr>
        <w:t>3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CD7C74">
        <w:rPr>
          <w:sz w:val="32"/>
          <w:szCs w:val="32"/>
        </w:rPr>
        <w:t>013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>
        <w:t>Em cumprimento ao disposto no artigo 2º, inciso VII, da Lei Complementar n</w:t>
      </w:r>
      <w:r w:rsidR="002C4B10">
        <w:t>º 1.127, de 29 de novembro de 2</w:t>
      </w:r>
      <w:r w:rsidR="00F06532">
        <w:t>.</w:t>
      </w:r>
      <w:r>
        <w:t>010, apresentamos o relatório rela</w:t>
      </w:r>
      <w:r w:rsidR="002C4B10">
        <w:t xml:space="preserve">tivo ao </w:t>
      </w:r>
      <w:r w:rsidR="00CA3BF3">
        <w:t>terceiro</w:t>
      </w:r>
      <w:r w:rsidR="002C4B10">
        <w:t xml:space="preserve"> trimestre de 2</w:t>
      </w:r>
      <w:r w:rsidR="00F06532">
        <w:t>.</w:t>
      </w:r>
      <w:r>
        <w:t>01</w:t>
      </w:r>
      <w:r w:rsidR="007406B8">
        <w:t>3</w:t>
      </w:r>
      <w:r>
        <w:t>.</w:t>
      </w:r>
    </w:p>
    <w:p w:rsidR="00CA3BF3" w:rsidRDefault="00DF73EC" w:rsidP="00BF60F2">
      <w:pPr>
        <w:ind w:firstLine="709"/>
        <w:jc w:val="both"/>
      </w:pPr>
      <w:r>
        <w:t xml:space="preserve">Nos dias </w:t>
      </w:r>
      <w:r w:rsidR="00CA3BF3">
        <w:t>1º</w:t>
      </w:r>
      <w:r w:rsidR="007B5B30">
        <w:t xml:space="preserve"> e </w:t>
      </w:r>
      <w:r w:rsidR="00CA3BF3">
        <w:t>2</w:t>
      </w:r>
      <w:r w:rsidR="007B5B30">
        <w:t xml:space="preserve"> </w:t>
      </w:r>
      <w:r>
        <w:t xml:space="preserve">de </w:t>
      </w:r>
      <w:r w:rsidR="00CA3BF3">
        <w:t>julh</w:t>
      </w:r>
      <w:r w:rsidR="007B5B30">
        <w:t>o</w:t>
      </w:r>
      <w:r>
        <w:t xml:space="preserve"> de 2.01</w:t>
      </w:r>
      <w:r w:rsidR="003D0737">
        <w:t>3</w:t>
      </w:r>
      <w:r>
        <w:t>, participamos</w:t>
      </w:r>
      <w:r w:rsidR="00CA3BF3">
        <w:t xml:space="preserve"> do 1º Encontro Nacional dos Ouvidores do Ministério Público, promovido pelo Conselho Nacional do Ministério Público em Brasília.</w:t>
      </w:r>
    </w:p>
    <w:p w:rsidR="00E43633" w:rsidRDefault="00E43633" w:rsidP="00BF60F2">
      <w:pPr>
        <w:ind w:firstLine="709"/>
        <w:jc w:val="both"/>
      </w:pPr>
      <w:r>
        <w:t>A reunião foi presidida pelo Dr. Almino Afonso Fernandes, Conselheiro e Ouvidor Nacional do Ministério Público.</w:t>
      </w:r>
    </w:p>
    <w:p w:rsidR="00E43633" w:rsidRDefault="00E46FF4" w:rsidP="00BF60F2">
      <w:pPr>
        <w:ind w:firstLine="709"/>
        <w:jc w:val="both"/>
      </w:pPr>
      <w:r>
        <w:t>Nessa reunião foram apresentados o sistema de consolidação de dados das Ouvidorias do Ministério Público brasileiro e o novo portal de ouvidorias no sítio eletrônico do CNMP. Essas apresentações foram feitas pelo Secretário de Tecnologia de Informação do CNMP, Waldeck Pinto de Araújo Júnior.</w:t>
      </w:r>
    </w:p>
    <w:p w:rsidR="00E43633" w:rsidRDefault="00E43633" w:rsidP="00BF60F2">
      <w:pPr>
        <w:ind w:firstLine="709"/>
        <w:jc w:val="both"/>
      </w:pPr>
      <w:r>
        <w:t>A Assessoria de Comunicação do Conselho Nacional do Ministério Público e a Dra. Maria Rosynete Oliveira Lima, Ouvidora do Ministério Público Federal e Territórios, fizeram uma palestra sobre o tema “Ouvidorias e Redes Sociais”.</w:t>
      </w:r>
    </w:p>
    <w:p w:rsidR="00E46FF4" w:rsidRDefault="00E43633" w:rsidP="00BF60F2">
      <w:pPr>
        <w:ind w:firstLine="709"/>
        <w:jc w:val="both"/>
      </w:pPr>
      <w:r>
        <w:t>O encerramento da reunião foi feito com a presença do Dr. Roberto Monteiro Gurgel, Presidente do CNMP e Procurador-Geral da República.</w:t>
      </w:r>
      <w:r w:rsidR="00E46FF4">
        <w:t xml:space="preserve"> </w:t>
      </w:r>
    </w:p>
    <w:p w:rsidR="002877E2" w:rsidRDefault="00DF73EC" w:rsidP="00BF60F2">
      <w:pPr>
        <w:ind w:firstLine="709"/>
        <w:jc w:val="both"/>
      </w:pPr>
      <w:r>
        <w:t xml:space="preserve"> </w:t>
      </w:r>
      <w:r w:rsidR="00E43633">
        <w:t xml:space="preserve">Já nos dias 29 e 30 de agosto de 2.013, participamos </w:t>
      </w:r>
      <w:r w:rsidR="00BF60F2">
        <w:t xml:space="preserve">da </w:t>
      </w:r>
      <w:r>
        <w:t>1</w:t>
      </w:r>
      <w:r w:rsidR="00E43633">
        <w:t>8</w:t>
      </w:r>
      <w:r>
        <w:t>ª</w:t>
      </w:r>
      <w:r w:rsidR="00BF60F2">
        <w:t xml:space="preserve"> Reunião Ordinária do Conselho Nacional dos Ouvidores do Ministério Público (CNOMP), realizada </w:t>
      </w:r>
      <w:r w:rsidR="003D0737">
        <w:t xml:space="preserve">em </w:t>
      </w:r>
      <w:r w:rsidR="00E43633">
        <w:t>Boa Vista</w:t>
      </w:r>
      <w:r w:rsidR="00BF60F2">
        <w:t xml:space="preserve">, capital do Estado </w:t>
      </w:r>
      <w:r w:rsidR="00F36829">
        <w:t>d</w:t>
      </w:r>
      <w:r w:rsidR="00AF7094">
        <w:t>e Roraima</w:t>
      </w:r>
      <w:r w:rsidR="00BF60F2">
        <w:t>.</w:t>
      </w:r>
    </w:p>
    <w:p w:rsidR="00AF7094" w:rsidRDefault="00AF7094" w:rsidP="00BF60F2">
      <w:pPr>
        <w:ind w:firstLine="709"/>
        <w:jc w:val="both"/>
      </w:pPr>
      <w:r>
        <w:t>A abertura protocolar ocorreu no edifício sede do Ministério Público de Roraima e contou com a presença de inúmeras autoridades. A seguir, ainda nesse local, os Doutores Jaime D´Agostinho, Edson Damas da Silveira e o índio Jonas Marcolino, discorreram sobre Roraima e a Jusdiversidade e Interlegalidades Amazônicas.</w:t>
      </w:r>
    </w:p>
    <w:p w:rsidR="00822256" w:rsidRDefault="002877E2" w:rsidP="00BF60F2">
      <w:pPr>
        <w:ind w:firstLine="709"/>
        <w:jc w:val="both"/>
      </w:pPr>
      <w:r>
        <w:t xml:space="preserve">Durante o evento, </w:t>
      </w:r>
      <w:r w:rsidR="00AF7094">
        <w:t xml:space="preserve">além de serem tratados de temas relativos às ouvidorias, foram proferidas palestras pelo Procurador-Geral de Justiça de Roraima, Dr. Fábio Bastos Stica, a respeito do relacionamento institucional entre as Procuradorias-Gerais e as Ouvidorias. </w:t>
      </w:r>
      <w:r w:rsidR="00822256">
        <w:t>A criação de rubrica orçamentária específica das Ouvidorias e a implantação do número telefônico “127”, também foram temas de discussão durante o encontro.</w:t>
      </w:r>
    </w:p>
    <w:p w:rsidR="00860F42" w:rsidRDefault="00822256" w:rsidP="00581447">
      <w:pPr>
        <w:ind w:firstLine="709"/>
        <w:jc w:val="both"/>
      </w:pPr>
      <w:r>
        <w:t xml:space="preserve">Conforme dados extraídos do módulo da Ouvidoria no SIS – MP Integrado, as </w:t>
      </w:r>
      <w:r w:rsidR="00B161A3">
        <w:t xml:space="preserve">manifestações dirigidas à Ouvidoria, </w:t>
      </w:r>
      <w:r w:rsidR="00FE08C9">
        <w:t xml:space="preserve">no </w:t>
      </w:r>
      <w:r>
        <w:t>terceiro</w:t>
      </w:r>
      <w:r w:rsidR="00593298">
        <w:t xml:space="preserve"> trimestre de 2</w:t>
      </w:r>
      <w:r w:rsidR="00030594">
        <w:t>.</w:t>
      </w:r>
      <w:r w:rsidR="00593298">
        <w:t>01</w:t>
      </w:r>
      <w:r w:rsidR="00E841DA">
        <w:t>3</w:t>
      </w:r>
      <w:r w:rsidR="00B161A3">
        <w:t xml:space="preserve">, </w:t>
      </w:r>
      <w:r w:rsidR="009F1EE4">
        <w:t>tornaram</w:t>
      </w:r>
      <w:r>
        <w:t xml:space="preserve"> a crescer</w:t>
      </w:r>
      <w:r w:rsidR="00B161A3">
        <w:t>.</w:t>
      </w:r>
      <w:r w:rsidR="00FE04CB">
        <w:t xml:space="preserve"> Os </w:t>
      </w:r>
      <w:r>
        <w:t xml:space="preserve">telefonemas recebidos voltaram a ser cadastrados no final do trimestre, com a chegada de um </w:t>
      </w:r>
      <w:r w:rsidR="009F1EE4">
        <w:t xml:space="preserve">novo </w:t>
      </w:r>
      <w:r>
        <w:t>funcionário, em reposição àquele exonerado no mês de maio último.</w:t>
      </w:r>
    </w:p>
    <w:p w:rsidR="00581447" w:rsidRDefault="00B161A3" w:rsidP="00581447">
      <w:pPr>
        <w:ind w:firstLine="709"/>
        <w:jc w:val="both"/>
      </w:pPr>
      <w:r>
        <w:lastRenderedPageBreak/>
        <w:t xml:space="preserve">No mês de </w:t>
      </w:r>
      <w:r w:rsidR="00822256">
        <w:t>julho</w:t>
      </w:r>
      <w:r w:rsidR="00C41597">
        <w:t xml:space="preserve"> </w:t>
      </w:r>
      <w:r>
        <w:t xml:space="preserve">foram </w:t>
      </w:r>
      <w:r w:rsidR="00030594">
        <w:t>1.</w:t>
      </w:r>
      <w:r w:rsidR="00822256">
        <w:t>288</w:t>
      </w:r>
      <w:r>
        <w:t xml:space="preserve"> (</w:t>
      </w:r>
      <w:r w:rsidR="00030594">
        <w:t>mil</w:t>
      </w:r>
      <w:r w:rsidR="00FE04CB">
        <w:t xml:space="preserve">, </w:t>
      </w:r>
      <w:r w:rsidR="00822256">
        <w:t>duzentas</w:t>
      </w:r>
      <w:r w:rsidR="007B433F">
        <w:t xml:space="preserve"> </w:t>
      </w:r>
      <w:r w:rsidR="00922FCF">
        <w:t xml:space="preserve">e </w:t>
      </w:r>
      <w:r w:rsidR="00822256">
        <w:t>oitenta e oito</w:t>
      </w:r>
      <w:r>
        <w:t xml:space="preserve">), em </w:t>
      </w:r>
      <w:r w:rsidR="00822256">
        <w:t>agosto</w:t>
      </w:r>
      <w:r>
        <w:t xml:space="preserve"> 1</w:t>
      </w:r>
      <w:r w:rsidR="00820723">
        <w:t>.</w:t>
      </w:r>
      <w:r w:rsidR="00822256">
        <w:t>509</w:t>
      </w:r>
      <w:r>
        <w:t xml:space="preserve"> (mil</w:t>
      </w:r>
      <w:r w:rsidR="00822256">
        <w:t>, quinhentas e nove</w:t>
      </w:r>
      <w:r>
        <w:t xml:space="preserve">) e em </w:t>
      </w:r>
      <w:r w:rsidR="00B376FB">
        <w:t>setembro</w:t>
      </w:r>
      <w:r>
        <w:t xml:space="preserve"> 1</w:t>
      </w:r>
      <w:r w:rsidR="00820723">
        <w:t>.</w:t>
      </w:r>
      <w:r w:rsidR="00B376FB">
        <w:t>669</w:t>
      </w:r>
      <w:r>
        <w:t xml:space="preserve"> (mil</w:t>
      </w:r>
      <w:r w:rsidR="008B0847">
        <w:t xml:space="preserve">, </w:t>
      </w:r>
      <w:r w:rsidR="00B376FB">
        <w:t>seiscentos e sessenta e nove</w:t>
      </w:r>
      <w:r>
        <w:t xml:space="preserve">), resultando em </w:t>
      </w:r>
      <w:r w:rsidR="00B376FB">
        <w:t>4.466</w:t>
      </w:r>
      <w:r>
        <w:t xml:space="preserve"> (</w:t>
      </w:r>
      <w:r w:rsidR="00B376FB">
        <w:t>quatro mil, quatrocentas e sessenta e seis</w:t>
      </w:r>
      <w:r>
        <w:t xml:space="preserve">) manifestações no </w:t>
      </w:r>
      <w:r w:rsidR="00B376FB">
        <w:t>3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8B0847">
        <w:t>3</w:t>
      </w:r>
      <w:r>
        <w:t>.</w:t>
      </w:r>
      <w:r w:rsidR="007B433F">
        <w:t xml:space="preserve"> </w:t>
      </w:r>
      <w:r w:rsidR="00581447">
        <w:t xml:space="preserve">Esse número representa um </w:t>
      </w:r>
      <w:r w:rsidR="00630957">
        <w:t>crescimento</w:t>
      </w:r>
      <w:r w:rsidR="008B0847">
        <w:t xml:space="preserve"> de </w:t>
      </w:r>
      <w:r w:rsidR="00664B87">
        <w:t>2</w:t>
      </w:r>
      <w:r w:rsidR="00630957">
        <w:t>1</w:t>
      </w:r>
      <w:r w:rsidR="00664B87">
        <w:t>,6</w:t>
      </w:r>
      <w:r w:rsidR="00630957">
        <w:t>9</w:t>
      </w:r>
      <w:r w:rsidR="00581447">
        <w:t>% em relação ao trimestre an</w:t>
      </w:r>
      <w:r w:rsidR="00664B87">
        <w:t xml:space="preserve">terior e </w:t>
      </w:r>
      <w:r w:rsidR="00630957">
        <w:t xml:space="preserve">igualmente </w:t>
      </w:r>
      <w:r w:rsidR="00664B87">
        <w:t xml:space="preserve">de </w:t>
      </w:r>
      <w:r w:rsidR="00630957">
        <w:t>21</w:t>
      </w:r>
      <w:r w:rsidR="00664B87">
        <w:t>,</w:t>
      </w:r>
      <w:r w:rsidR="00630957">
        <w:t>69</w:t>
      </w:r>
      <w:r w:rsidR="00581447">
        <w:t xml:space="preserve">% em relação </w:t>
      </w:r>
      <w:r w:rsidR="008B0847">
        <w:t>ao mesmo período do ano de 2.012</w:t>
      </w:r>
      <w:r w:rsidR="00581447">
        <w:t>.</w:t>
      </w:r>
    </w:p>
    <w:p w:rsidR="00581447" w:rsidRDefault="00581447" w:rsidP="00581447">
      <w:pPr>
        <w:ind w:firstLine="709"/>
        <w:jc w:val="both"/>
      </w:pPr>
      <w:r>
        <w:t>Procuraram a Ouvidoria quer pessoalmente quer por telefone, sendo orientadas a r</w:t>
      </w:r>
      <w:r w:rsidR="008B0847">
        <w:t xml:space="preserve">espeito de suas preocupações </w:t>
      </w:r>
      <w:r w:rsidR="00630957">
        <w:t>1.081</w:t>
      </w:r>
      <w:r>
        <w:t xml:space="preserve"> (</w:t>
      </w:r>
      <w:r w:rsidR="00D51AAE">
        <w:t>mil e oitenta e uma</w:t>
      </w:r>
      <w:r>
        <w:t xml:space="preserve">) pessoas, sendo </w:t>
      </w:r>
      <w:r w:rsidR="00D51AAE">
        <w:t>1.068</w:t>
      </w:r>
      <w:r>
        <w:t xml:space="preserve"> (</w:t>
      </w:r>
      <w:r w:rsidR="00D51AAE">
        <w:t>mil e sess</w:t>
      </w:r>
      <w:r>
        <w:t xml:space="preserve">enta e </w:t>
      </w:r>
      <w:r w:rsidR="00860F42">
        <w:t>oito</w:t>
      </w:r>
      <w:r>
        <w:t xml:space="preserve">) por telefone e </w:t>
      </w:r>
      <w:r w:rsidR="00860F42">
        <w:t>1</w:t>
      </w:r>
      <w:r w:rsidR="00D51AAE">
        <w:t>3</w:t>
      </w:r>
      <w:r>
        <w:t xml:space="preserve"> (</w:t>
      </w:r>
      <w:r w:rsidR="00D51AAE">
        <w:t>treze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t>As demais manifestaçõe</w:t>
      </w:r>
      <w:r w:rsidR="003E49B1">
        <w:t xml:space="preserve">s estão assim distribuídas: </w:t>
      </w:r>
      <w:r w:rsidR="00D51AAE">
        <w:t>3.3</w:t>
      </w:r>
      <w:r w:rsidR="00860F42">
        <w:t>33</w:t>
      </w:r>
      <w:r>
        <w:t xml:space="preserve"> (</w:t>
      </w:r>
      <w:r w:rsidR="00860F42">
        <w:t>três</w:t>
      </w:r>
      <w:r>
        <w:t xml:space="preserve"> mil, </w:t>
      </w:r>
      <w:r w:rsidR="00D51AAE">
        <w:t>trezentas</w:t>
      </w:r>
      <w:r>
        <w:t xml:space="preserve"> e </w:t>
      </w:r>
      <w:r w:rsidR="003E49B1">
        <w:t>trinta</w:t>
      </w:r>
      <w:r>
        <w:t xml:space="preserve"> e </w:t>
      </w:r>
      <w:r w:rsidR="00860F42">
        <w:t>três</w:t>
      </w:r>
      <w:r>
        <w:t>) me</w:t>
      </w:r>
      <w:r w:rsidR="003E49B1">
        <w:t xml:space="preserve">nsagens por meio eletrônico e </w:t>
      </w:r>
      <w:r w:rsidR="00D51AAE">
        <w:t>52</w:t>
      </w:r>
      <w:r>
        <w:t xml:space="preserve"> (</w:t>
      </w:r>
      <w:r w:rsidR="00D51AAE">
        <w:t>cinquenta e duas</w:t>
      </w:r>
      <w:r>
        <w:t>) por carta.</w:t>
      </w:r>
    </w:p>
    <w:p w:rsidR="00581447" w:rsidRDefault="00D51AAE" w:rsidP="00581447">
      <w:pPr>
        <w:ind w:firstLine="709"/>
        <w:jc w:val="both"/>
      </w:pPr>
      <w:r>
        <w:t>E</w:t>
      </w:r>
      <w:r w:rsidR="00DD02BF">
        <w:t>stão aguardando alguma providência</w:t>
      </w:r>
      <w:r>
        <w:t xml:space="preserve"> por parte da Ouvidoria apenas 9</w:t>
      </w:r>
      <w:r w:rsidR="00DD02BF">
        <w:t>9 (</w:t>
      </w:r>
      <w:r>
        <w:t>noventa</w:t>
      </w:r>
      <w:r w:rsidR="00DD02BF">
        <w:t xml:space="preserve"> e nove) manifestações</w:t>
      </w:r>
      <w:r w:rsidR="003E49B1">
        <w:t>.</w:t>
      </w:r>
    </w:p>
    <w:p w:rsidR="00D51AAE" w:rsidRDefault="00D51AAE" w:rsidP="00581447">
      <w:pPr>
        <w:ind w:firstLine="709"/>
        <w:jc w:val="both"/>
      </w:pPr>
      <w:r>
        <w:t>Anote-se que 678 (seiscentas e setenta e oito) manifestações foram feitas de forma anônima.</w:t>
      </w: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51AAE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D51A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Críticas 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6C0BEF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51AAE" w:rsidP="00D51AAE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1.039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informação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6C6A81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1.600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393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6C0BEF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3</w:t>
            </w:r>
            <w:r w:rsidR="00DD02B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</w:tbl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Promotoria de Justiça da região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761F2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828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5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</w:t>
            </w:r>
            <w:r w:rsidR="00761F2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/GECAP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/GECEP)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65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Procuradorias/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Subprocuradorias/CSMP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/G-PGJ        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3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DG/CRH/CEAF-ESMP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A21B52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24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9F1EE4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</w:t>
            </w:r>
            <w:r w:rsidR="009F1EE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94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9F1EE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349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Denúncias anônimas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9F1EE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9F1EE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678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Fichas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encerrad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892A38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2.904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em andamento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409AB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9F1EE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581447" w:rsidRDefault="00581447" w:rsidP="00581447">
      <w:pPr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lastRenderedPageBreak/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581447" w:rsidRDefault="00581447" w:rsidP="00581447">
      <w:pPr>
        <w:ind w:firstLine="709"/>
        <w:jc w:val="both"/>
      </w:pPr>
    </w:p>
    <w:p w:rsidR="00581447" w:rsidRDefault="00892A38" w:rsidP="00581447">
      <w:pPr>
        <w:jc w:val="both"/>
      </w:pPr>
      <w:r>
        <w:rPr>
          <w:noProof/>
          <w:color w:val="FF0000"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447" w:rsidRDefault="00027910" w:rsidP="00581447">
      <w:pPr>
        <w:spacing w:after="0" w:line="240" w:lineRule="auto"/>
      </w:pPr>
      <w:r>
        <w:rPr>
          <w:noProof/>
          <w:color w:val="7030A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Desde a instalação da Ouvidoria em março de 2.011 até </w:t>
      </w:r>
      <w:r w:rsidR="00111CC1">
        <w:t>os dias de hoje,</w:t>
      </w:r>
      <w:r>
        <w:t xml:space="preserve"> o número de contatos com a Ouvidoria só tem crescido. O gráfico seguinte demonstra a evolução, mês a mês, da quantidade de manifestações recebidas.</w:t>
      </w:r>
    </w:p>
    <w:p w:rsidR="00C37874" w:rsidRDefault="00C37874" w:rsidP="00581447">
      <w:pPr>
        <w:ind w:firstLine="709"/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027910" w:rsidP="00581447">
      <w:pPr>
        <w:jc w:val="both"/>
      </w:pPr>
      <w:r w:rsidRPr="00727E43">
        <w:rPr>
          <w:i/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447" w:rsidRDefault="00581447" w:rsidP="00581447">
      <w:pPr>
        <w:ind w:firstLine="709"/>
        <w:jc w:val="both"/>
      </w:pPr>
    </w:p>
    <w:p w:rsidR="00C37874" w:rsidRDefault="00C37874" w:rsidP="00581447">
      <w:pPr>
        <w:ind w:firstLine="709"/>
        <w:jc w:val="both"/>
      </w:pPr>
      <w:r>
        <w:t>Como se vê pelos gráficos acima, a</w:t>
      </w:r>
      <w:r w:rsidR="00581447">
        <w:t xml:space="preserve"> Ouvidoria consolidou-se como importante intermediadora entre a sociedade e os diversos setores do Ministério Público.</w:t>
      </w:r>
    </w:p>
    <w:p w:rsidR="00B27FC0" w:rsidRDefault="00B27FC0" w:rsidP="00581447">
      <w:pPr>
        <w:ind w:firstLine="709"/>
        <w:jc w:val="both"/>
      </w:pPr>
    </w:p>
    <w:p w:rsidR="00263BF7" w:rsidRDefault="00263BF7" w:rsidP="00581447">
      <w:pPr>
        <w:ind w:firstLine="709"/>
        <w:jc w:val="both"/>
      </w:pPr>
      <w:r>
        <w:t xml:space="preserve">Por ordem decrescente, </w:t>
      </w:r>
      <w:r w:rsidR="00B27FC0">
        <w:t xml:space="preserve">por temas, </w:t>
      </w:r>
      <w:r>
        <w:t>as maiores demandas dirigidas à Ouvidoria foram:</w:t>
      </w:r>
    </w:p>
    <w:p w:rsidR="00263BF7" w:rsidRDefault="00263BF7" w:rsidP="00581447">
      <w:pPr>
        <w:ind w:firstLine="709"/>
        <w:jc w:val="both"/>
      </w:pPr>
      <w:r>
        <w:t>I – questões relat</w:t>
      </w:r>
      <w:r w:rsidR="00D45E05">
        <w:t>ivas às relações de consumo – 338</w:t>
      </w:r>
      <w:r>
        <w:t>;</w:t>
      </w:r>
    </w:p>
    <w:p w:rsidR="00263BF7" w:rsidRDefault="00263BF7" w:rsidP="00581447">
      <w:pPr>
        <w:ind w:firstLine="709"/>
        <w:jc w:val="both"/>
      </w:pPr>
      <w:r>
        <w:t xml:space="preserve">II – </w:t>
      </w:r>
      <w:r w:rsidR="00D45E05">
        <w:t>questões relativas ao patrimônio público – 235;</w:t>
      </w:r>
    </w:p>
    <w:p w:rsidR="00263BF7" w:rsidRDefault="00263BF7" w:rsidP="00581447">
      <w:pPr>
        <w:ind w:firstLine="709"/>
        <w:jc w:val="both"/>
      </w:pPr>
      <w:r>
        <w:t>III – questões</w:t>
      </w:r>
      <w:r w:rsidR="00D45E05">
        <w:t xml:space="preserve"> relativas à saúde pública – 159</w:t>
      </w:r>
      <w:r>
        <w:t>;</w:t>
      </w:r>
    </w:p>
    <w:p w:rsidR="00263BF7" w:rsidRDefault="00263BF7" w:rsidP="00581447">
      <w:pPr>
        <w:ind w:firstLine="709"/>
        <w:jc w:val="both"/>
      </w:pPr>
      <w:r>
        <w:t>IV –</w:t>
      </w:r>
      <w:r w:rsidR="00D45E05" w:rsidRPr="00D45E05">
        <w:t xml:space="preserve"> </w:t>
      </w:r>
      <w:r w:rsidR="00D45E05">
        <w:t>questões relativas à habitação e urbanismo – 85</w:t>
      </w:r>
      <w:r>
        <w:t>;</w:t>
      </w:r>
    </w:p>
    <w:p w:rsidR="00263BF7" w:rsidRDefault="00263BF7" w:rsidP="00581447">
      <w:pPr>
        <w:ind w:firstLine="709"/>
        <w:jc w:val="both"/>
      </w:pPr>
      <w:r>
        <w:t>V – questões</w:t>
      </w:r>
      <w:r w:rsidR="00D45E05">
        <w:t xml:space="preserve"> relativas ao meio ambiente – 59</w:t>
      </w:r>
      <w:r>
        <w:t>; e</w:t>
      </w:r>
    </w:p>
    <w:p w:rsidR="00263BF7" w:rsidRDefault="00263BF7" w:rsidP="00581447">
      <w:pPr>
        <w:ind w:firstLine="709"/>
        <w:jc w:val="both"/>
      </w:pPr>
      <w:r>
        <w:t>VI –</w:t>
      </w:r>
      <w:r w:rsidR="00D45E05" w:rsidRPr="00D45E05">
        <w:t xml:space="preserve"> </w:t>
      </w:r>
      <w:r w:rsidR="00D45E05">
        <w:t>questões relativas à educação – 49</w:t>
      </w:r>
      <w:r>
        <w:t>.</w:t>
      </w:r>
    </w:p>
    <w:p w:rsidR="00581447" w:rsidRDefault="00B27FC0" w:rsidP="00581447">
      <w:pPr>
        <w:ind w:firstLine="709"/>
        <w:jc w:val="both"/>
      </w:pPr>
      <w:r>
        <w:t xml:space="preserve">A orientação aos manifestantes a respeito de temas diversos, as queixas relativas </w:t>
      </w:r>
      <w:r w:rsidR="00085B83">
        <w:t>à</w:t>
      </w:r>
      <w:r>
        <w:t xml:space="preserve"> prática de crimes e de questões que estão fora das atribuições do Ministério Público, além de assuntos relacionados a no</w:t>
      </w:r>
      <w:bookmarkStart w:id="0" w:name="_GoBack"/>
      <w:bookmarkEnd w:id="0"/>
      <w:r>
        <w:t>ssos concursos, dominaram as manifestações dirigidas à Ouvidoria</w:t>
      </w:r>
      <w:r w:rsidR="00581447">
        <w:t>.</w:t>
      </w:r>
      <w:r>
        <w:t xml:space="preserve"> No entanto, a relevância maior da Ouvidoria destaca-se nos seis tópicos acima mencionados, por sua repercussão na sociedade extrapolar o âmbito individual.</w:t>
      </w:r>
    </w:p>
    <w:p w:rsidR="00B27FC0" w:rsidRDefault="00B27FC0" w:rsidP="00581447">
      <w:pPr>
        <w:ind w:firstLine="709"/>
        <w:jc w:val="both"/>
      </w:pPr>
    </w:p>
    <w:p w:rsidR="00581447" w:rsidRDefault="00B27FC0" w:rsidP="00581447">
      <w:pPr>
        <w:ind w:firstLine="709"/>
        <w:jc w:val="both"/>
      </w:pPr>
      <w:r>
        <w:lastRenderedPageBreak/>
        <w:t xml:space="preserve">Estes os aspectos mais relevantes da atuação da Ouvidoria do Ministério Público do Estado de São Paulo neste </w:t>
      </w:r>
      <w:r w:rsidR="00D45E05">
        <w:t>terceiro</w:t>
      </w:r>
      <w:r>
        <w:t xml:space="preserve"> trimestre de 2.013.</w:t>
      </w: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p w:rsidR="00581447" w:rsidRDefault="00581447" w:rsidP="00581447">
      <w:pPr>
        <w:ind w:firstLine="709"/>
        <w:jc w:val="both"/>
      </w:pPr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508" w:rsidRDefault="003D6508" w:rsidP="0080377D">
      <w:pPr>
        <w:spacing w:after="0" w:line="240" w:lineRule="auto"/>
      </w:pPr>
      <w:r>
        <w:separator/>
      </w:r>
    </w:p>
  </w:endnote>
  <w:endnote w:type="continuationSeparator" w:id="0">
    <w:p w:rsidR="003D6508" w:rsidRDefault="003D6508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EC7647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AA73C7">
      <w:rPr>
        <w:noProof/>
      </w:rPr>
      <w:t>1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508" w:rsidRDefault="003D6508" w:rsidP="0080377D">
      <w:pPr>
        <w:spacing w:after="0" w:line="240" w:lineRule="auto"/>
      </w:pPr>
      <w:r>
        <w:separator/>
      </w:r>
    </w:p>
  </w:footnote>
  <w:footnote w:type="continuationSeparator" w:id="0">
    <w:p w:rsidR="003D6508" w:rsidRDefault="003D6508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98F"/>
    <w:rsid w:val="0002107A"/>
    <w:rsid w:val="00022FB6"/>
    <w:rsid w:val="00027910"/>
    <w:rsid w:val="00030594"/>
    <w:rsid w:val="0005423C"/>
    <w:rsid w:val="000605FD"/>
    <w:rsid w:val="000671B9"/>
    <w:rsid w:val="00076904"/>
    <w:rsid w:val="000830B8"/>
    <w:rsid w:val="00085B83"/>
    <w:rsid w:val="000A2BB2"/>
    <w:rsid w:val="000B7B58"/>
    <w:rsid w:val="000C28E4"/>
    <w:rsid w:val="000E5F22"/>
    <w:rsid w:val="00111CC1"/>
    <w:rsid w:val="00116EC3"/>
    <w:rsid w:val="00131766"/>
    <w:rsid w:val="00136B17"/>
    <w:rsid w:val="0014161E"/>
    <w:rsid w:val="00160DFA"/>
    <w:rsid w:val="00191691"/>
    <w:rsid w:val="001A6892"/>
    <w:rsid w:val="001C5A10"/>
    <w:rsid w:val="001D02D6"/>
    <w:rsid w:val="001D42D7"/>
    <w:rsid w:val="001F1C0D"/>
    <w:rsid w:val="002071F7"/>
    <w:rsid w:val="002578DB"/>
    <w:rsid w:val="00263BF7"/>
    <w:rsid w:val="00273EF1"/>
    <w:rsid w:val="00280B0E"/>
    <w:rsid w:val="002877E2"/>
    <w:rsid w:val="002950C3"/>
    <w:rsid w:val="002A2315"/>
    <w:rsid w:val="002B58E8"/>
    <w:rsid w:val="002C3E27"/>
    <w:rsid w:val="002C4B10"/>
    <w:rsid w:val="002D0702"/>
    <w:rsid w:val="002E647C"/>
    <w:rsid w:val="00301971"/>
    <w:rsid w:val="0031206A"/>
    <w:rsid w:val="00313760"/>
    <w:rsid w:val="003410E5"/>
    <w:rsid w:val="00341395"/>
    <w:rsid w:val="00342774"/>
    <w:rsid w:val="00343CA4"/>
    <w:rsid w:val="00347FF5"/>
    <w:rsid w:val="0035713D"/>
    <w:rsid w:val="0036073B"/>
    <w:rsid w:val="00367EC3"/>
    <w:rsid w:val="00371EE2"/>
    <w:rsid w:val="003A2DC6"/>
    <w:rsid w:val="003B116E"/>
    <w:rsid w:val="003C257A"/>
    <w:rsid w:val="003C7BBE"/>
    <w:rsid w:val="003D0737"/>
    <w:rsid w:val="003D40BA"/>
    <w:rsid w:val="003D6508"/>
    <w:rsid w:val="003E49B1"/>
    <w:rsid w:val="0040443F"/>
    <w:rsid w:val="00420F59"/>
    <w:rsid w:val="00434155"/>
    <w:rsid w:val="00435CC5"/>
    <w:rsid w:val="004409AB"/>
    <w:rsid w:val="00464E85"/>
    <w:rsid w:val="00465AF3"/>
    <w:rsid w:val="004902D1"/>
    <w:rsid w:val="00496613"/>
    <w:rsid w:val="00503B1D"/>
    <w:rsid w:val="005112D2"/>
    <w:rsid w:val="005215D4"/>
    <w:rsid w:val="00524B2B"/>
    <w:rsid w:val="005306BB"/>
    <w:rsid w:val="0054379A"/>
    <w:rsid w:val="005607D5"/>
    <w:rsid w:val="005742BA"/>
    <w:rsid w:val="00581447"/>
    <w:rsid w:val="00586D61"/>
    <w:rsid w:val="00587FE0"/>
    <w:rsid w:val="00593298"/>
    <w:rsid w:val="005A7EFB"/>
    <w:rsid w:val="005C6141"/>
    <w:rsid w:val="005D4C6A"/>
    <w:rsid w:val="005D5B6A"/>
    <w:rsid w:val="005E4E1E"/>
    <w:rsid w:val="00602EEC"/>
    <w:rsid w:val="00605CBC"/>
    <w:rsid w:val="006120AC"/>
    <w:rsid w:val="00630957"/>
    <w:rsid w:val="0063706E"/>
    <w:rsid w:val="006646B3"/>
    <w:rsid w:val="00664B87"/>
    <w:rsid w:val="0067531F"/>
    <w:rsid w:val="006865FB"/>
    <w:rsid w:val="006A4604"/>
    <w:rsid w:val="006C0BEF"/>
    <w:rsid w:val="006C0F6F"/>
    <w:rsid w:val="006C35C0"/>
    <w:rsid w:val="006C6A81"/>
    <w:rsid w:val="006D74C9"/>
    <w:rsid w:val="006E46A9"/>
    <w:rsid w:val="007154CB"/>
    <w:rsid w:val="00715B25"/>
    <w:rsid w:val="00715B68"/>
    <w:rsid w:val="00725B1A"/>
    <w:rsid w:val="007273A2"/>
    <w:rsid w:val="00727E43"/>
    <w:rsid w:val="007331D4"/>
    <w:rsid w:val="00736E34"/>
    <w:rsid w:val="00737A3E"/>
    <w:rsid w:val="007406B8"/>
    <w:rsid w:val="007416F4"/>
    <w:rsid w:val="00741B81"/>
    <w:rsid w:val="007460BE"/>
    <w:rsid w:val="00761F22"/>
    <w:rsid w:val="00766328"/>
    <w:rsid w:val="007833FF"/>
    <w:rsid w:val="007A3DDB"/>
    <w:rsid w:val="007B178E"/>
    <w:rsid w:val="007B2891"/>
    <w:rsid w:val="007B3F77"/>
    <w:rsid w:val="007B433F"/>
    <w:rsid w:val="007B5B30"/>
    <w:rsid w:val="007C7EEB"/>
    <w:rsid w:val="007D3755"/>
    <w:rsid w:val="007D5F91"/>
    <w:rsid w:val="007E478C"/>
    <w:rsid w:val="0080377D"/>
    <w:rsid w:val="00820723"/>
    <w:rsid w:val="00822256"/>
    <w:rsid w:val="00832810"/>
    <w:rsid w:val="008340B6"/>
    <w:rsid w:val="00846FB0"/>
    <w:rsid w:val="008600D5"/>
    <w:rsid w:val="00860F42"/>
    <w:rsid w:val="0086546F"/>
    <w:rsid w:val="008737A0"/>
    <w:rsid w:val="00877F1B"/>
    <w:rsid w:val="00892A38"/>
    <w:rsid w:val="0089745A"/>
    <w:rsid w:val="008A690F"/>
    <w:rsid w:val="008B0847"/>
    <w:rsid w:val="008B5020"/>
    <w:rsid w:val="008C2928"/>
    <w:rsid w:val="008D3FEA"/>
    <w:rsid w:val="008D5443"/>
    <w:rsid w:val="008E30BF"/>
    <w:rsid w:val="00901CA5"/>
    <w:rsid w:val="0090491F"/>
    <w:rsid w:val="00922FCF"/>
    <w:rsid w:val="00931D9B"/>
    <w:rsid w:val="00943512"/>
    <w:rsid w:val="00962D64"/>
    <w:rsid w:val="00967574"/>
    <w:rsid w:val="0097289D"/>
    <w:rsid w:val="00976069"/>
    <w:rsid w:val="00985907"/>
    <w:rsid w:val="009A0D1A"/>
    <w:rsid w:val="009B4C39"/>
    <w:rsid w:val="009B7DF5"/>
    <w:rsid w:val="009C5DD1"/>
    <w:rsid w:val="009F09FD"/>
    <w:rsid w:val="009F1EE4"/>
    <w:rsid w:val="00A21390"/>
    <w:rsid w:val="00A21B52"/>
    <w:rsid w:val="00A35589"/>
    <w:rsid w:val="00A366BA"/>
    <w:rsid w:val="00A60655"/>
    <w:rsid w:val="00A66324"/>
    <w:rsid w:val="00AA73C7"/>
    <w:rsid w:val="00AD203A"/>
    <w:rsid w:val="00AD4639"/>
    <w:rsid w:val="00AF7094"/>
    <w:rsid w:val="00AF77E6"/>
    <w:rsid w:val="00B0220B"/>
    <w:rsid w:val="00B12B38"/>
    <w:rsid w:val="00B161A3"/>
    <w:rsid w:val="00B27FC0"/>
    <w:rsid w:val="00B36C67"/>
    <w:rsid w:val="00B376FB"/>
    <w:rsid w:val="00B573E4"/>
    <w:rsid w:val="00B65501"/>
    <w:rsid w:val="00B8460E"/>
    <w:rsid w:val="00B84DFB"/>
    <w:rsid w:val="00B9134B"/>
    <w:rsid w:val="00BD3AA1"/>
    <w:rsid w:val="00BD52D5"/>
    <w:rsid w:val="00BE024F"/>
    <w:rsid w:val="00BF60F2"/>
    <w:rsid w:val="00BF6AD3"/>
    <w:rsid w:val="00C10AF5"/>
    <w:rsid w:val="00C14463"/>
    <w:rsid w:val="00C307FC"/>
    <w:rsid w:val="00C37874"/>
    <w:rsid w:val="00C41597"/>
    <w:rsid w:val="00C42D7D"/>
    <w:rsid w:val="00C60759"/>
    <w:rsid w:val="00C928EA"/>
    <w:rsid w:val="00C93392"/>
    <w:rsid w:val="00CA3BF3"/>
    <w:rsid w:val="00CA589B"/>
    <w:rsid w:val="00CB70CD"/>
    <w:rsid w:val="00CD7A90"/>
    <w:rsid w:val="00CD7C74"/>
    <w:rsid w:val="00D017AA"/>
    <w:rsid w:val="00D06AAD"/>
    <w:rsid w:val="00D2106A"/>
    <w:rsid w:val="00D25BE1"/>
    <w:rsid w:val="00D279D2"/>
    <w:rsid w:val="00D43645"/>
    <w:rsid w:val="00D44E20"/>
    <w:rsid w:val="00D45E05"/>
    <w:rsid w:val="00D51AAE"/>
    <w:rsid w:val="00D57AAF"/>
    <w:rsid w:val="00D70A5D"/>
    <w:rsid w:val="00D70DB9"/>
    <w:rsid w:val="00D778E3"/>
    <w:rsid w:val="00D872F1"/>
    <w:rsid w:val="00D92DCD"/>
    <w:rsid w:val="00DA25F9"/>
    <w:rsid w:val="00DC03AE"/>
    <w:rsid w:val="00DD02BF"/>
    <w:rsid w:val="00DD4B05"/>
    <w:rsid w:val="00DD5C30"/>
    <w:rsid w:val="00DF1F38"/>
    <w:rsid w:val="00DF73EC"/>
    <w:rsid w:val="00E05FED"/>
    <w:rsid w:val="00E161D4"/>
    <w:rsid w:val="00E247DC"/>
    <w:rsid w:val="00E35A47"/>
    <w:rsid w:val="00E35A75"/>
    <w:rsid w:val="00E401F5"/>
    <w:rsid w:val="00E43633"/>
    <w:rsid w:val="00E46FF4"/>
    <w:rsid w:val="00E55079"/>
    <w:rsid w:val="00E6011C"/>
    <w:rsid w:val="00E75EE8"/>
    <w:rsid w:val="00E761A0"/>
    <w:rsid w:val="00E841DA"/>
    <w:rsid w:val="00EC7647"/>
    <w:rsid w:val="00ED217F"/>
    <w:rsid w:val="00ED535F"/>
    <w:rsid w:val="00ED638C"/>
    <w:rsid w:val="00EF0761"/>
    <w:rsid w:val="00EF2E2E"/>
    <w:rsid w:val="00F06532"/>
    <w:rsid w:val="00F12A71"/>
    <w:rsid w:val="00F13668"/>
    <w:rsid w:val="00F20059"/>
    <w:rsid w:val="00F277C4"/>
    <w:rsid w:val="00F36829"/>
    <w:rsid w:val="00F73BBC"/>
    <w:rsid w:val="00F83B2A"/>
    <w:rsid w:val="00F87E5D"/>
    <w:rsid w:val="00FB50C0"/>
    <w:rsid w:val="00FC7028"/>
    <w:rsid w:val="00FE04CB"/>
    <w:rsid w:val="00FE08C9"/>
    <w:rsid w:val="00FE29F0"/>
    <w:rsid w:val="00FF3B7D"/>
    <w:rsid w:val="00FF4D0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1"/>
            <c:spPr>
              <a:solidFill>
                <a:srgbClr val="00206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FFC000"/>
              </a:solidFill>
            </c:spPr>
          </c:dPt>
          <c:dPt>
            <c:idx val="7"/>
            <c:spPr>
              <a:solidFill>
                <a:srgbClr val="00B05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1600</a:t>
                    </a:r>
                  </a:p>
                </c:rich>
              </c:tx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elete val="1"/>
          </c:dLbls>
          <c:cat>
            <c:strRef>
              <c:f>Plan1!$A$2:$A$9</c:f>
              <c:strCache>
                <c:ptCount val="8"/>
                <c:pt idx="0">
                  <c:v>Apreciações e Comentários</c:v>
                </c:pt>
                <c:pt idx="1">
                  <c:v>Críticas</c:v>
                </c:pt>
                <c:pt idx="2">
                  <c:v>Denúncias</c:v>
                </c:pt>
                <c:pt idx="3">
                  <c:v>Elogios</c:v>
                </c:pt>
                <c:pt idx="4">
                  <c:v>Pedidos de Informação</c:v>
                </c:pt>
                <c:pt idx="5">
                  <c:v>Reclamações</c:v>
                </c:pt>
                <c:pt idx="6">
                  <c:v>Sugestões</c:v>
                </c:pt>
                <c:pt idx="7">
                  <c:v>Diversos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73</c:v>
                </c:pt>
                <c:pt idx="1">
                  <c:v>6</c:v>
                </c:pt>
                <c:pt idx="2">
                  <c:v>1039</c:v>
                </c:pt>
                <c:pt idx="3">
                  <c:v>21</c:v>
                </c:pt>
                <c:pt idx="4">
                  <c:v>835</c:v>
                </c:pt>
                <c:pt idx="5">
                  <c:v>1393</c:v>
                </c:pt>
                <c:pt idx="6">
                  <c:v>16</c:v>
                </c:pt>
                <c:pt idx="7">
                  <c:v>318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3333</c:v>
                </c:pt>
                <c:pt idx="1">
                  <c:v>1068</c:v>
                </c:pt>
                <c:pt idx="2">
                  <c:v>52</c:v>
                </c:pt>
                <c:pt idx="3">
                  <c:v>13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>
                  <c:v>1102</c:v>
                </c:pt>
                <c:pt idx="8">
                  <c:v>1183</c:v>
                </c:pt>
                <c:pt idx="9">
                  <c:v>912</c:v>
                </c:pt>
                <c:pt idx="10">
                  <c:v>1166</c:v>
                </c:pt>
                <c:pt idx="11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General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2.013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  <c:numCache>
                <c:formatCode>General</c:formatCode>
                <c:ptCount val="12"/>
                <c:pt idx="0">
                  <c:v>1288</c:v>
                </c:pt>
                <c:pt idx="1">
                  <c:v>1293</c:v>
                </c:pt>
                <c:pt idx="2">
                  <c:v>1178</c:v>
                </c:pt>
                <c:pt idx="3">
                  <c:v>1377</c:v>
                </c:pt>
                <c:pt idx="4">
                  <c:v>1072</c:v>
                </c:pt>
                <c:pt idx="5">
                  <c:v>1221</c:v>
                </c:pt>
                <c:pt idx="6">
                  <c:v>1288</c:v>
                </c:pt>
                <c:pt idx="7">
                  <c:v>1509</c:v>
                </c:pt>
                <c:pt idx="8">
                  <c:v>1669</c:v>
                </c:pt>
              </c:numCache>
            </c:numRef>
          </c:val>
        </c:ser>
        <c:axId val="68414848"/>
        <c:axId val="68629632"/>
      </c:barChart>
      <c:catAx>
        <c:axId val="68414848"/>
        <c:scaling>
          <c:orientation val="minMax"/>
        </c:scaling>
        <c:axPos val="b"/>
        <c:tickLblPos val="nextTo"/>
        <c:crossAx val="68629632"/>
        <c:crosses val="autoZero"/>
        <c:auto val="1"/>
        <c:lblAlgn val="ctr"/>
        <c:lblOffset val="100"/>
      </c:catAx>
      <c:valAx>
        <c:axId val="68629632"/>
        <c:scaling>
          <c:orientation val="minMax"/>
        </c:scaling>
        <c:axPos val="l"/>
        <c:majorGridlines/>
        <c:numFmt formatCode="General" sourceLinked="1"/>
        <c:tickLblPos val="nextTo"/>
        <c:crossAx val="684148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BC0E-FAA5-4931-B5EB-AC759BF3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2012-04-11T17:59:00Z</cp:lastPrinted>
  <dcterms:created xsi:type="dcterms:W3CDTF">2013-10-03T13:56:00Z</dcterms:created>
  <dcterms:modified xsi:type="dcterms:W3CDTF">2013-10-03T13:56:00Z</dcterms:modified>
</cp:coreProperties>
</file>