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915" w:rsidRDefault="00AD6915" w:rsidP="00AD6915">
      <w:pPr>
        <w:jc w:val="center"/>
        <w:rPr>
          <w:sz w:val="32"/>
          <w:szCs w:val="32"/>
        </w:rPr>
      </w:pPr>
      <w:r>
        <w:rPr>
          <w:sz w:val="32"/>
          <w:szCs w:val="32"/>
        </w:rPr>
        <w:t>OUVIDORIA DO MINISTÉRIO PÚBLICO DO ESTADO DE SÃO PAULO</w:t>
      </w:r>
    </w:p>
    <w:p w:rsidR="00AD6915" w:rsidRPr="006952B0" w:rsidRDefault="00AD6915" w:rsidP="00AD6915">
      <w:pPr>
        <w:jc w:val="center"/>
        <w:rPr>
          <w:b/>
          <w:sz w:val="32"/>
          <w:szCs w:val="32"/>
          <w:u w:val="single"/>
        </w:rPr>
      </w:pPr>
      <w:r w:rsidRPr="006952B0">
        <w:rPr>
          <w:b/>
          <w:sz w:val="32"/>
          <w:szCs w:val="32"/>
          <w:u w:val="single"/>
        </w:rPr>
        <w:t xml:space="preserve">RELATÓRIO </w:t>
      </w:r>
      <w:r>
        <w:rPr>
          <w:b/>
          <w:sz w:val="32"/>
          <w:szCs w:val="32"/>
          <w:u w:val="single"/>
        </w:rPr>
        <w:t xml:space="preserve">CONSOLIDADO </w:t>
      </w:r>
      <w:r w:rsidRPr="006952B0">
        <w:rPr>
          <w:b/>
          <w:sz w:val="32"/>
          <w:szCs w:val="32"/>
          <w:u w:val="single"/>
        </w:rPr>
        <w:t>DE 2</w:t>
      </w:r>
      <w:r>
        <w:rPr>
          <w:b/>
          <w:sz w:val="32"/>
          <w:szCs w:val="32"/>
          <w:u w:val="single"/>
        </w:rPr>
        <w:t>.01</w:t>
      </w:r>
      <w:r w:rsidR="006318F9">
        <w:rPr>
          <w:b/>
          <w:sz w:val="32"/>
          <w:szCs w:val="32"/>
          <w:u w:val="single"/>
        </w:rPr>
        <w:t>3</w:t>
      </w:r>
    </w:p>
    <w:p w:rsidR="00AD6915" w:rsidRDefault="00AD6915" w:rsidP="00AD6915">
      <w:pPr>
        <w:ind w:firstLine="709"/>
        <w:jc w:val="both"/>
      </w:pPr>
    </w:p>
    <w:p w:rsidR="00AD6915" w:rsidRDefault="00AD6915" w:rsidP="00AD6915">
      <w:pPr>
        <w:ind w:firstLine="709"/>
        <w:jc w:val="both"/>
      </w:pPr>
    </w:p>
    <w:p w:rsidR="00AD6915" w:rsidRDefault="00AD6915" w:rsidP="00AD6915">
      <w:pPr>
        <w:ind w:firstLine="709"/>
        <w:jc w:val="both"/>
      </w:pPr>
    </w:p>
    <w:p w:rsidR="001968FF" w:rsidRDefault="001968FF" w:rsidP="00AD6915">
      <w:pPr>
        <w:ind w:firstLine="709"/>
        <w:jc w:val="both"/>
      </w:pPr>
    </w:p>
    <w:p w:rsidR="00AD6915" w:rsidRDefault="00AD6915" w:rsidP="00AD6915">
      <w:pPr>
        <w:ind w:firstLine="709"/>
        <w:jc w:val="both"/>
      </w:pPr>
    </w:p>
    <w:p w:rsidR="00B16AF9" w:rsidRDefault="00AD6915" w:rsidP="00AD6915">
      <w:pPr>
        <w:ind w:firstLine="709"/>
        <w:jc w:val="both"/>
      </w:pPr>
      <w:r>
        <w:t xml:space="preserve">Criada pela Lei Complementar nº 1.127, de 29 de novembro de 2.010, a Ouvidoria do Ministério Público do Estado de São Paulo iniciou seus trabalhos em </w:t>
      </w:r>
      <w:proofErr w:type="gramStart"/>
      <w:r>
        <w:t>3</w:t>
      </w:r>
      <w:proofErr w:type="gramEnd"/>
      <w:r>
        <w:t xml:space="preserve"> de março de 2.011.</w:t>
      </w:r>
    </w:p>
    <w:p w:rsidR="00AD6915" w:rsidRDefault="00B16AF9" w:rsidP="00AD6915">
      <w:pPr>
        <w:ind w:firstLine="709"/>
        <w:jc w:val="both"/>
      </w:pPr>
      <w:r>
        <w:t xml:space="preserve">Em seu </w:t>
      </w:r>
      <w:r w:rsidR="006318F9">
        <w:t>terceiro</w:t>
      </w:r>
      <w:r>
        <w:t xml:space="preserve"> ano de existência, a Ouvidoria do Ministério Público do Estado de São Paulo consolidou-se como a principal porta de entrada para os cidadãos que desejam a atuação do </w:t>
      </w:r>
      <w:r w:rsidRPr="00B16AF9">
        <w:rPr>
          <w:i/>
        </w:rPr>
        <w:t>parquet</w:t>
      </w:r>
      <w:r>
        <w:t>, na esperança de resolverem os problemas que os afligem.</w:t>
      </w:r>
    </w:p>
    <w:p w:rsidR="007461C1" w:rsidRDefault="007461C1" w:rsidP="00AD6915">
      <w:pPr>
        <w:ind w:firstLine="709"/>
        <w:jc w:val="both"/>
      </w:pPr>
      <w:r>
        <w:t>As manifestações vieram crescendo durante todo o ano de 2.01</w:t>
      </w:r>
      <w:r w:rsidR="006318F9">
        <w:t>3</w:t>
      </w:r>
      <w:r>
        <w:t>, havendo certa estabilização no último trimestre do ano, exatamente como aconteceu no</w:t>
      </w:r>
      <w:r w:rsidR="006318F9">
        <w:t>s</w:t>
      </w:r>
      <w:r>
        <w:t xml:space="preserve"> ano</w:t>
      </w:r>
      <w:r w:rsidR="006318F9">
        <w:t>s anteriores</w:t>
      </w:r>
      <w:r>
        <w:t>.</w:t>
      </w:r>
    </w:p>
    <w:p w:rsidR="00B16AF9" w:rsidRDefault="00B16AF9" w:rsidP="00AD6915">
      <w:pPr>
        <w:ind w:firstLine="709"/>
        <w:jc w:val="both"/>
      </w:pPr>
      <w:r>
        <w:t>As mensagens chegam de várias cidades paulistas, bem como de outros Estados da Federação e até mesmo do exterior.</w:t>
      </w:r>
    </w:p>
    <w:p w:rsidR="00D565B1" w:rsidRDefault="00D565B1" w:rsidP="00D565B1">
      <w:pPr>
        <w:ind w:firstLine="709"/>
        <w:jc w:val="both"/>
      </w:pPr>
      <w:r>
        <w:t xml:space="preserve">No dia 27 de fevereiro </w:t>
      </w:r>
      <w:r w:rsidR="00B5443C">
        <w:t xml:space="preserve">de 2.013 </w:t>
      </w:r>
      <w:r>
        <w:t xml:space="preserve">ocorreu </w:t>
      </w:r>
      <w:proofErr w:type="gramStart"/>
      <w:r>
        <w:t>a</w:t>
      </w:r>
      <w:proofErr w:type="gramEnd"/>
      <w:r>
        <w:t xml:space="preserve"> eleição para o cargo de Ouvidor, relativa ao biênio 2.013 – 2.015, ocasião em que fomos reeleitos. Durante o período de desincompatibilização, fomos substituídos pela Ouvidora suplente, Procuradora de Justiça </w:t>
      </w:r>
      <w:proofErr w:type="spellStart"/>
      <w:r>
        <w:t>Drª</w:t>
      </w:r>
      <w:proofErr w:type="spellEnd"/>
      <w:r>
        <w:t xml:space="preserve"> Deborah </w:t>
      </w:r>
      <w:proofErr w:type="spellStart"/>
      <w:r>
        <w:t>Pierri</w:t>
      </w:r>
      <w:proofErr w:type="spellEnd"/>
      <w:r>
        <w:t>.</w:t>
      </w:r>
    </w:p>
    <w:p w:rsidR="00D565B1" w:rsidRDefault="00D565B1" w:rsidP="00D565B1">
      <w:pPr>
        <w:ind w:firstLine="709"/>
        <w:jc w:val="both"/>
      </w:pPr>
      <w:r>
        <w:t>Já no dia 3 de março teve início nosso segundo mandato, que se findará no dia 2 de março de 2.015.</w:t>
      </w:r>
    </w:p>
    <w:p w:rsidR="00C6225F" w:rsidRDefault="00C6225F" w:rsidP="00C6225F">
      <w:pPr>
        <w:ind w:firstLine="709"/>
        <w:jc w:val="both"/>
      </w:pPr>
      <w:r>
        <w:t>No período de 10 a 25 de junho, fomos substituídos pelo Ouvidor Suplente, escolhido pelo Órgão Especial do Colégio de Procuradores de Justiça, Dr. Álvaro Augusto Fonseca de Arruda.</w:t>
      </w:r>
    </w:p>
    <w:p w:rsidR="00C6225F" w:rsidRDefault="00C6225F" w:rsidP="00D565B1">
      <w:pPr>
        <w:ind w:firstLine="709"/>
        <w:jc w:val="both"/>
      </w:pPr>
    </w:p>
    <w:p w:rsidR="00B16AF9" w:rsidRPr="006952B0" w:rsidRDefault="00B16AF9" w:rsidP="00B16AF9">
      <w:pPr>
        <w:jc w:val="both"/>
        <w:rPr>
          <w:b/>
        </w:rPr>
      </w:pPr>
      <w:r w:rsidRPr="006952B0">
        <w:rPr>
          <w:b/>
        </w:rPr>
        <w:t>I – Instalações físicas</w:t>
      </w:r>
      <w:r>
        <w:rPr>
          <w:b/>
        </w:rPr>
        <w:t xml:space="preserve"> e alocação de pessoal</w:t>
      </w:r>
    </w:p>
    <w:p w:rsidR="00B16AF9" w:rsidRDefault="00B16AF9" w:rsidP="00AD6915">
      <w:pPr>
        <w:ind w:firstLine="709"/>
        <w:jc w:val="both"/>
      </w:pPr>
      <w:r>
        <w:t>A equipe de funcionários da Ouvidoria</w:t>
      </w:r>
      <w:r w:rsidR="00840FFB">
        <w:t xml:space="preserve"> foi acrescida durante o ano de 2.01</w:t>
      </w:r>
      <w:r w:rsidR="006318F9">
        <w:t>3. São três oficiais de promotoria e dois auxiliares de promotoria</w:t>
      </w:r>
      <w:r w:rsidR="00840FFB">
        <w:t>.</w:t>
      </w:r>
    </w:p>
    <w:p w:rsidR="00840FFB" w:rsidRDefault="006318F9" w:rsidP="00AD6915">
      <w:pPr>
        <w:ind w:firstLine="709"/>
        <w:jc w:val="both"/>
      </w:pPr>
      <w:r>
        <w:t>Por conta disso, a</w:t>
      </w:r>
      <w:r w:rsidR="00840FFB">
        <w:t xml:space="preserve">s instalações físicas da Ouvidoria </w:t>
      </w:r>
      <w:r>
        <w:t>foram</w:t>
      </w:r>
      <w:r w:rsidR="00840FFB">
        <w:t xml:space="preserve"> aumentadas</w:t>
      </w:r>
      <w:r>
        <w:t>, com a anexação do espaço correspondente a mais uma sala.</w:t>
      </w:r>
    </w:p>
    <w:p w:rsidR="001968FF" w:rsidRDefault="001968FF" w:rsidP="00AD6915">
      <w:pPr>
        <w:ind w:firstLine="709"/>
        <w:jc w:val="both"/>
      </w:pPr>
    </w:p>
    <w:p w:rsidR="00273ABB" w:rsidRPr="00BA09BE" w:rsidRDefault="00273ABB" w:rsidP="00273ABB">
      <w:pPr>
        <w:jc w:val="both"/>
        <w:rPr>
          <w:b/>
        </w:rPr>
      </w:pPr>
      <w:r w:rsidRPr="00BA09BE">
        <w:rPr>
          <w:b/>
        </w:rPr>
        <w:lastRenderedPageBreak/>
        <w:t>II – Informátic</w:t>
      </w:r>
      <w:r>
        <w:rPr>
          <w:b/>
        </w:rPr>
        <w:t>a</w:t>
      </w:r>
    </w:p>
    <w:p w:rsidR="00A57E34" w:rsidRDefault="00421CB0" w:rsidP="00AD6915">
      <w:pPr>
        <w:ind w:firstLine="709"/>
        <w:jc w:val="both"/>
      </w:pPr>
      <w:r>
        <w:t>Desde o dia 1º de março de 2.013 passamos a utilizar o</w:t>
      </w:r>
      <w:r w:rsidR="00273ABB">
        <w:t xml:space="preserve"> módul</w:t>
      </w:r>
      <w:r>
        <w:t xml:space="preserve">o Ouvidoria </w:t>
      </w:r>
      <w:proofErr w:type="gramStart"/>
      <w:r>
        <w:t>no SIS</w:t>
      </w:r>
      <w:proofErr w:type="gramEnd"/>
      <w:r>
        <w:t xml:space="preserve"> MP Integrado, que </w:t>
      </w:r>
      <w:r w:rsidR="00273ABB">
        <w:t xml:space="preserve">foi desenvolvido pelo CTIC </w:t>
      </w:r>
      <w:r w:rsidR="00A57E34">
        <w:t>–</w:t>
      </w:r>
      <w:r w:rsidR="00273ABB">
        <w:t xml:space="preserve"> </w:t>
      </w:r>
      <w:r w:rsidR="00A57E34">
        <w:t>Centro de Tecnologia da Informação e Comunicação. A</w:t>
      </w:r>
      <w:r>
        <w:t xml:space="preserve"> implantação desse sistema permite</w:t>
      </w:r>
      <w:r w:rsidR="00A57E34">
        <w:t>, além de um controle a respeito das manifestações recebidas e seu andamento, a obtenção de estatísticas confiáveis que possam ajudar os Órgãos da Administração Superior do Ministério Público na tomada de decisões.</w:t>
      </w:r>
    </w:p>
    <w:p w:rsidR="008E30BF" w:rsidRDefault="00B65501" w:rsidP="009C5DD1">
      <w:pPr>
        <w:ind w:firstLine="709"/>
        <w:jc w:val="both"/>
      </w:pPr>
      <w:r>
        <w:t xml:space="preserve">Os contatos da população com a Ouvidoria do Ministério Público do Estado de São Paulo </w:t>
      </w:r>
      <w:r w:rsidR="00985907">
        <w:t xml:space="preserve">permaneceram </w:t>
      </w:r>
      <w:r w:rsidR="00421CB0">
        <w:t xml:space="preserve">em constante crescimento durante o ano de </w:t>
      </w:r>
      <w:r w:rsidR="008E30BF">
        <w:t>2</w:t>
      </w:r>
      <w:r w:rsidR="00F06532">
        <w:t>.</w:t>
      </w:r>
      <w:r w:rsidR="008E30BF">
        <w:t>01</w:t>
      </w:r>
      <w:r w:rsidR="00421CB0">
        <w:t xml:space="preserve">3, sendo certo que o módulo Ouvidoria </w:t>
      </w:r>
      <w:proofErr w:type="gramStart"/>
      <w:r w:rsidR="00421CB0">
        <w:t>do SIS</w:t>
      </w:r>
      <w:proofErr w:type="gramEnd"/>
      <w:r w:rsidR="00421CB0">
        <w:t xml:space="preserve"> MP Integrado tem correspondido às expectativas.</w:t>
      </w:r>
    </w:p>
    <w:p w:rsidR="00421CB0" w:rsidRDefault="00421CB0" w:rsidP="009C5DD1">
      <w:pPr>
        <w:ind w:firstLine="709"/>
        <w:jc w:val="both"/>
      </w:pPr>
      <w:r>
        <w:t>É necessário que o sistema de recebimento de mensagens seja aperfeiçoado, eis que o formulário disponível na página da Ouvidoria não permite a anexação de documentos</w:t>
      </w:r>
      <w:r w:rsidR="004E5451">
        <w:t xml:space="preserve">. O envio de documentos, por não ser possível pelo formulário disponibilizado na Internet, tem que ser </w:t>
      </w:r>
      <w:r w:rsidR="00B5443C">
        <w:t>feito</w:t>
      </w:r>
      <w:r w:rsidR="004E5451">
        <w:t xml:space="preserve"> através de simples mensagens, o que dificulta </w:t>
      </w:r>
      <w:r w:rsidR="00B5443C">
        <w:t>seu</w:t>
      </w:r>
      <w:r w:rsidR="004E5451">
        <w:t xml:space="preserve"> cadastramento.</w:t>
      </w:r>
    </w:p>
    <w:p w:rsidR="004E5451" w:rsidRDefault="004E5451" w:rsidP="009C5DD1">
      <w:pPr>
        <w:ind w:firstLine="709"/>
        <w:jc w:val="both"/>
      </w:pPr>
      <w:r>
        <w:t>Se o acesso ocorresse apenas através do formulário, as mensagens viriam com mais elementos, evitando o envio de respostas com pedidos de complementação de dados.</w:t>
      </w:r>
    </w:p>
    <w:p w:rsidR="004E5451" w:rsidRDefault="004E5451" w:rsidP="009C5DD1">
      <w:pPr>
        <w:ind w:firstLine="709"/>
        <w:jc w:val="both"/>
      </w:pPr>
      <w:r>
        <w:t>Tal solicitação feita ao CTIC não tem prazo para ser atendida.</w:t>
      </w:r>
    </w:p>
    <w:p w:rsidR="002B0608" w:rsidRDefault="002B0608" w:rsidP="009C5DD1">
      <w:pPr>
        <w:ind w:firstLine="709"/>
        <w:jc w:val="both"/>
      </w:pPr>
    </w:p>
    <w:p w:rsidR="0031468D" w:rsidRPr="00BA09BE" w:rsidRDefault="0031468D" w:rsidP="0031468D">
      <w:pPr>
        <w:jc w:val="both"/>
        <w:rPr>
          <w:b/>
        </w:rPr>
      </w:pPr>
      <w:r w:rsidRPr="00BA09BE">
        <w:rPr>
          <w:b/>
        </w:rPr>
        <w:t>III – Relacionamento com os membros da Administração Superior do Ministério Público</w:t>
      </w:r>
    </w:p>
    <w:p w:rsidR="00A57E34" w:rsidRDefault="0031468D" w:rsidP="009C5DD1">
      <w:pPr>
        <w:ind w:firstLine="709"/>
        <w:jc w:val="both"/>
      </w:pPr>
      <w:r>
        <w:t xml:space="preserve">O relacionamento da Ouvidoria com os membros da Administração Superior do Ministério Público </w:t>
      </w:r>
      <w:r w:rsidR="004E5451">
        <w:t>continua sendo</w:t>
      </w:r>
      <w:r>
        <w:t xml:space="preserve"> d</w:t>
      </w:r>
      <w:r w:rsidR="00FE2830">
        <w:t>o</w:t>
      </w:r>
      <w:r>
        <w:t>s melhores.</w:t>
      </w:r>
    </w:p>
    <w:p w:rsidR="0031468D" w:rsidRDefault="0031468D" w:rsidP="0031468D">
      <w:pPr>
        <w:ind w:firstLine="709"/>
        <w:jc w:val="both"/>
      </w:pPr>
      <w:r>
        <w:t>Todas as informações julgadas relevantes têm sido repassadas, principalmente para o Procurador-Geral de Justiça, assim como para o Corregedor-Geral do Ministério Público.</w:t>
      </w:r>
    </w:p>
    <w:p w:rsidR="0031468D" w:rsidRDefault="004E5451" w:rsidP="0031468D">
      <w:pPr>
        <w:ind w:firstLine="709"/>
        <w:jc w:val="both"/>
      </w:pPr>
      <w:r>
        <w:t>O papel da</w:t>
      </w:r>
      <w:r w:rsidR="0031468D">
        <w:t xml:space="preserve"> Ouvidoria</w:t>
      </w:r>
      <w:r>
        <w:t xml:space="preserve"> dentro da Instituição está consolidado e não houve, desde sua implantação, nenhum choque de atribuições com</w:t>
      </w:r>
      <w:r w:rsidR="0031468D">
        <w:t xml:space="preserve"> a Corregedoria-Geral.</w:t>
      </w:r>
    </w:p>
    <w:p w:rsidR="002B0608" w:rsidRDefault="002B0608" w:rsidP="0031468D">
      <w:pPr>
        <w:ind w:firstLine="709"/>
        <w:jc w:val="both"/>
      </w:pPr>
    </w:p>
    <w:p w:rsidR="0031468D" w:rsidRPr="00AF6B84" w:rsidRDefault="0031468D" w:rsidP="0031468D">
      <w:pPr>
        <w:jc w:val="both"/>
        <w:rPr>
          <w:b/>
        </w:rPr>
      </w:pPr>
      <w:r>
        <w:rPr>
          <w:b/>
        </w:rPr>
        <w:t>IV – Relacionamento com os membros da Instituição</w:t>
      </w:r>
    </w:p>
    <w:p w:rsidR="0031468D" w:rsidRDefault="00B252DE" w:rsidP="0031468D">
      <w:pPr>
        <w:ind w:firstLine="709"/>
        <w:jc w:val="both"/>
      </w:pPr>
      <w:r>
        <w:t xml:space="preserve">A troca de mensagens entre a Ouvidoria e os membros da Instituição tem sido por meio eletrônico. </w:t>
      </w:r>
      <w:r w:rsidR="00B5443C">
        <w:t>A troca de ofícios entre a Ouvidoria e as Promotorias de Justiça é verdadeira exceção.</w:t>
      </w:r>
      <w:r>
        <w:t xml:space="preserve"> Com isso desburocratiza-se o relacionamento com os membros da Instituição, evitando-se a perda de tempo com formalismos.</w:t>
      </w:r>
    </w:p>
    <w:p w:rsidR="00B252DE" w:rsidRDefault="00B252DE" w:rsidP="0031468D">
      <w:pPr>
        <w:ind w:firstLine="709"/>
        <w:jc w:val="both"/>
      </w:pPr>
      <w:r>
        <w:t>Algumas vezes, os Promotores de Justiça são contatados por telefone, ficando claro que a Ouvidoria deseja colher informações, mas sem se comportar como uma segunda corregedoria.</w:t>
      </w:r>
    </w:p>
    <w:p w:rsidR="00B252DE" w:rsidRDefault="00B252DE" w:rsidP="0031468D">
      <w:pPr>
        <w:ind w:firstLine="709"/>
        <w:jc w:val="both"/>
      </w:pPr>
      <w:r>
        <w:t>Em diversas oportunidades</w:t>
      </w:r>
      <w:r w:rsidR="00872E87">
        <w:t xml:space="preserve"> reunimo-nos com Promotores de Justiça das Promotorias de Justiça especializadas para troca de informações, bem como para melhorar a forma como o </w:t>
      </w:r>
      <w:r w:rsidR="00872E87">
        <w:lastRenderedPageBreak/>
        <w:t xml:space="preserve">conteúdo das mensagens da população é levado a essas promotorias. </w:t>
      </w:r>
      <w:r w:rsidR="004E5451">
        <w:t>Houve uma demanda por parte de alguns Promotores de Justiça para que a Ouvidoria seja o portal de entrada</w:t>
      </w:r>
      <w:r w:rsidR="00D565B1">
        <w:t xml:space="preserve"> para a população no Ministério Público. A questão está em estudo por parte da Procuradoria-Geral de Justiça.</w:t>
      </w:r>
    </w:p>
    <w:p w:rsidR="00872E87" w:rsidRDefault="00872E87" w:rsidP="0031468D">
      <w:pPr>
        <w:ind w:firstLine="709"/>
        <w:jc w:val="both"/>
      </w:pPr>
      <w:r>
        <w:t xml:space="preserve">Procuramos participar de grande parte dos eventos promovidos pelo </w:t>
      </w:r>
      <w:r w:rsidRPr="00872E87">
        <w:t>Centro de Estudos e Aperfeiçoamento Funcional – Escola Superior do Ministério Público (CEAF/ESMP)</w:t>
      </w:r>
      <w:r>
        <w:t xml:space="preserve"> de maneira a prestigiar e demonstrar sua importância para a Instituição</w:t>
      </w:r>
      <w:r w:rsidR="002B0608">
        <w:t xml:space="preserve"> e para a sociedade</w:t>
      </w:r>
      <w:r>
        <w:t>.</w:t>
      </w:r>
    </w:p>
    <w:p w:rsidR="00872E87" w:rsidRDefault="00872E87" w:rsidP="0031468D">
      <w:pPr>
        <w:ind w:firstLine="709"/>
        <w:jc w:val="both"/>
      </w:pPr>
      <w:r>
        <w:t>A Ouvidoria participou igualmente do Curso de Adaptação dos Promotores de Justiça Substitutos</w:t>
      </w:r>
      <w:r w:rsidR="00D565B1">
        <w:t xml:space="preserve"> aprovados no 89</w:t>
      </w:r>
      <w:r w:rsidR="007F5C19">
        <w:t>º Concurso de Ingresso ao Ministério Público</w:t>
      </w:r>
      <w:r>
        <w:t xml:space="preserve">, ocasião em que foram transmitidas as informações </w:t>
      </w:r>
      <w:r w:rsidR="00AD08F6">
        <w:t xml:space="preserve">a respeito </w:t>
      </w:r>
      <w:r>
        <w:t>da base legal</w:t>
      </w:r>
      <w:r w:rsidR="007F5C19">
        <w:t xml:space="preserve"> e da forma de atuação da Ouvidoria.</w:t>
      </w:r>
    </w:p>
    <w:p w:rsidR="00C00F65" w:rsidRDefault="00C00F65" w:rsidP="0031468D">
      <w:pPr>
        <w:ind w:firstLine="709"/>
        <w:jc w:val="both"/>
      </w:pPr>
      <w:r>
        <w:t>Ressalte-se, em especial, o apoio que a Ouvidoria tem recebido da Procuradoria-Geral de Justiça por intermédio da Subprocuradoria-Geral de Gestão, para a solução das diversas questões administrativas que têm surgido.</w:t>
      </w:r>
    </w:p>
    <w:p w:rsidR="002B0608" w:rsidRDefault="002B0608" w:rsidP="0031468D">
      <w:pPr>
        <w:ind w:firstLine="709"/>
        <w:jc w:val="both"/>
      </w:pPr>
    </w:p>
    <w:p w:rsidR="007F5C19" w:rsidRPr="0086567E" w:rsidRDefault="007F5C19" w:rsidP="007F5C19">
      <w:pPr>
        <w:jc w:val="both"/>
        <w:rPr>
          <w:b/>
        </w:rPr>
      </w:pPr>
      <w:r w:rsidRPr="0086567E">
        <w:rPr>
          <w:b/>
        </w:rPr>
        <w:t>V – Relacionamento com órgãos externos à Instituição</w:t>
      </w:r>
    </w:p>
    <w:p w:rsidR="00B252DE" w:rsidRDefault="007F5C19" w:rsidP="0031468D">
      <w:pPr>
        <w:ind w:firstLine="709"/>
        <w:jc w:val="both"/>
      </w:pPr>
      <w:r>
        <w:t>Diversas ouvidorias de órgãos públicos têm enviado mensagens eletrônicas para a Ouvidoria do Ministério Público paulista, em especial a Ouvidoria do Governo do Estado de São Paulo</w:t>
      </w:r>
      <w:r w:rsidR="00D565B1">
        <w:t xml:space="preserve"> e a Secretaria Nacional de Direitos Humanos da Presidência da República</w:t>
      </w:r>
      <w:r>
        <w:t>.</w:t>
      </w:r>
    </w:p>
    <w:p w:rsidR="007F5C19" w:rsidRDefault="007F5C19" w:rsidP="0031468D">
      <w:pPr>
        <w:ind w:firstLine="709"/>
        <w:jc w:val="both"/>
      </w:pPr>
      <w:r>
        <w:t>Pode-se relacionar</w:t>
      </w:r>
      <w:r w:rsidR="00AD08F6">
        <w:t xml:space="preserve"> ainda</w:t>
      </w:r>
      <w:r>
        <w:t xml:space="preserve"> o recebimento de mensagens das Ouvidorias dos Ministérios Públicos dos Estados do Rio Grande do Sul, do Paraná, de Mato Grosso, do Mato Grosso do Sul, </w:t>
      </w:r>
      <w:r w:rsidR="00D565B1">
        <w:t xml:space="preserve">de Minas Gerais, </w:t>
      </w:r>
      <w:r>
        <w:t>do Rio de Janeiro,</w:t>
      </w:r>
      <w:r w:rsidR="007D4B35">
        <w:t xml:space="preserve"> entre outros, além do Ministério Público Federal, do Supremo Tribunal Federal e da Ouvidoria do Conselho Nacional do Ministério Público.</w:t>
      </w:r>
    </w:p>
    <w:p w:rsidR="007D4B35" w:rsidRDefault="007D4B35" w:rsidP="0031468D">
      <w:pPr>
        <w:ind w:firstLine="709"/>
        <w:jc w:val="both"/>
      </w:pPr>
      <w:r>
        <w:t xml:space="preserve">É de se ressaltar que, ante a abertura de um canal direto entre a Ouvidoria da Municipalidade de São Paulo e a Ouvidoria do Ministério Público, a troca de mensagens entre as ouvidorias também é constante. Isto porque os pedidos de munícipes para atuação da Instituição são enviados </w:t>
      </w:r>
      <w:r w:rsidR="00D565B1">
        <w:t>de início</w:t>
      </w:r>
      <w:r>
        <w:t xml:space="preserve"> diretamente à Ouvidoria do Município, aliviando um pouco a carga de queixas encaminhadas às Promotorias de Justiça especializadas da Capital.</w:t>
      </w:r>
    </w:p>
    <w:p w:rsidR="002B0608" w:rsidRDefault="002B0608" w:rsidP="0031468D">
      <w:pPr>
        <w:ind w:firstLine="709"/>
        <w:jc w:val="both"/>
      </w:pPr>
    </w:p>
    <w:p w:rsidR="007D4B35" w:rsidRPr="002061B8" w:rsidRDefault="007D4B35" w:rsidP="007D4B35">
      <w:pPr>
        <w:jc w:val="both"/>
        <w:rPr>
          <w:b/>
        </w:rPr>
      </w:pPr>
      <w:r w:rsidRPr="002061B8">
        <w:rPr>
          <w:b/>
        </w:rPr>
        <w:t>VI – Participação em reuniões do Conselho Nacional dos Ouvidores do Ministério Público</w:t>
      </w:r>
    </w:p>
    <w:p w:rsidR="00D565B1" w:rsidRDefault="00D565B1" w:rsidP="00D565B1">
      <w:pPr>
        <w:ind w:firstLine="709"/>
        <w:jc w:val="both"/>
      </w:pPr>
      <w:r>
        <w:t>Nos dias 7 e 8 de março de 2.013, participamos da 16ª Reunião Ordinária do Conselho Nacional dos Ouvidores do Ministério Público (CNOMP), realizada em Fortaleza, capital do Estado do Ceará.</w:t>
      </w:r>
    </w:p>
    <w:p w:rsidR="00D565B1" w:rsidRDefault="00D565B1" w:rsidP="00D565B1">
      <w:pPr>
        <w:ind w:firstLine="709"/>
        <w:jc w:val="both"/>
      </w:pPr>
      <w:r>
        <w:t xml:space="preserve">Na noite do dia 8, ocorreu a posse solene da nova diretoria do Conselho Nacional dos Ouvidores do Ministério Público – CNOMP, com mandato de um ano, ocasião em que fomos empossados como Diretor Financeiro. A nova diretoria é presidida pelo Dr. José Valdo Silva, </w:t>
      </w:r>
      <w:r>
        <w:lastRenderedPageBreak/>
        <w:t xml:space="preserve">Ouvidor do Ceará, tendo como Vice-presidente o Dr. Sales Eurico Melgarejo Freitas, Ouvidor de Roraima; e como Secretária a </w:t>
      </w:r>
      <w:proofErr w:type="spellStart"/>
      <w:r>
        <w:t>Drª</w:t>
      </w:r>
      <w:proofErr w:type="spellEnd"/>
      <w:r>
        <w:t xml:space="preserve"> Ruth Lies </w:t>
      </w:r>
      <w:proofErr w:type="spellStart"/>
      <w:r>
        <w:t>Scholte</w:t>
      </w:r>
      <w:proofErr w:type="spellEnd"/>
      <w:r>
        <w:t xml:space="preserve"> Carvalho, Ouvidora de Minas Gerais.</w:t>
      </w:r>
    </w:p>
    <w:p w:rsidR="00C6225F" w:rsidRDefault="00C6225F" w:rsidP="00C6225F">
      <w:pPr>
        <w:ind w:firstLine="709"/>
        <w:jc w:val="both"/>
      </w:pPr>
      <w:r>
        <w:t>Nos dias 6 e 7 de junho de 2.013, participamos da 17ª Reunião Ordinária do Conselho Nacional dos Ouvidores do Ministério Público (CNOMP), realizada em Cuiabá, capital do Estado do Mato Grosso.</w:t>
      </w:r>
    </w:p>
    <w:p w:rsidR="00452BE5" w:rsidRDefault="00452BE5" w:rsidP="00452BE5">
      <w:pPr>
        <w:ind w:firstLine="709"/>
        <w:jc w:val="both"/>
      </w:pPr>
      <w:r>
        <w:t xml:space="preserve">Nos dias 1º e </w:t>
      </w:r>
      <w:proofErr w:type="gramStart"/>
      <w:r>
        <w:t>2</w:t>
      </w:r>
      <w:proofErr w:type="gramEnd"/>
      <w:r>
        <w:t xml:space="preserve"> de julho de 2.013, participamos do 1º Encontro Nacional dos Ouvidores do Ministério Público, promovido pelo Conselho Nacional do Ministério Público em Brasília. A reunião foi presidida pelo Dr. Almino Afonso Fernandes, Conselheiro e Ouvidor Nacional do Ministério Público. O encerramento da reunião foi feito com a presença do Dr. Roberto Monteiro Gurgel, Presidente do CNMP e Procurador-Geral da República. </w:t>
      </w:r>
    </w:p>
    <w:p w:rsidR="00452BE5" w:rsidRDefault="00452BE5" w:rsidP="00452BE5">
      <w:pPr>
        <w:ind w:firstLine="709"/>
        <w:jc w:val="both"/>
      </w:pPr>
      <w:r>
        <w:t>Já nos dias 29 e 30 de agosto de 2.013, participamos da 18ª Reunião Ordinária do Conselho Nacional dos Ouvidores do Ministério Público (CNOMP), realizada em Boa Vista, capital do Estado de Roraima.</w:t>
      </w:r>
    </w:p>
    <w:p w:rsidR="00452BE5" w:rsidRDefault="00452BE5" w:rsidP="00452BE5">
      <w:pPr>
        <w:ind w:firstLine="709"/>
        <w:jc w:val="both"/>
      </w:pPr>
      <w:r>
        <w:t xml:space="preserve">Nos dias 29 e 30 de outubro de 2.013, participamos da 19ª Reunião Ordinária do Conselho Nacional dos Ouvidores do Ministério Público (CNOMP), realizada em Natal, capital do Estado do Rio Grande do Norte. Na sequência participamos do XX Congresso Nacional do Ministério Público, que se desenrolou de 30 de outubro a </w:t>
      </w:r>
      <w:proofErr w:type="gramStart"/>
      <w:r>
        <w:t>2</w:t>
      </w:r>
      <w:proofErr w:type="gramEnd"/>
      <w:r>
        <w:t xml:space="preserve"> de novembro de 2.013. Todas as reuniões e o próprio congresso foram realizados no Centro de Convenções de Natal.</w:t>
      </w:r>
    </w:p>
    <w:p w:rsidR="00452BE5" w:rsidRDefault="00452BE5" w:rsidP="00452BE5">
      <w:pPr>
        <w:ind w:firstLine="709"/>
        <w:jc w:val="both"/>
      </w:pPr>
      <w:r>
        <w:t>Ainda durante esse período, foi realizada uma reunião conjunta dos membros do Conselho Nacional dos Procuradores-Gerais – CNPG e dos membros do Conselho Nacional dos Ouvidores do Ministério Público (CNOMP).</w:t>
      </w:r>
    </w:p>
    <w:p w:rsidR="007D6BD0" w:rsidRDefault="007D6BD0" w:rsidP="00BF60F2">
      <w:pPr>
        <w:ind w:firstLine="709"/>
        <w:jc w:val="both"/>
      </w:pPr>
      <w:r>
        <w:t>A participação nas reuniões do Conselho Nacional dos Ouvidores do Ministério Público – CNOMP tem sido de suma importância, não só pela maior integração com membros dos Ministérios Públicos dos demais Estados e da União</w:t>
      </w:r>
      <w:r w:rsidR="004F0DA4">
        <w:t xml:space="preserve"> (Distrito Federal, Militar e do Trabalho), mas pela troca de informações e de experiência no trato das questões trazidas no bojo das mensagens recebidas pelas Ouvidorias.</w:t>
      </w:r>
    </w:p>
    <w:p w:rsidR="002B0608" w:rsidRDefault="002B0608" w:rsidP="00BF60F2">
      <w:pPr>
        <w:ind w:firstLine="709"/>
        <w:jc w:val="both"/>
      </w:pPr>
    </w:p>
    <w:p w:rsidR="004F0DA4" w:rsidRPr="00196EA7" w:rsidRDefault="004F0DA4" w:rsidP="004F0DA4">
      <w:pPr>
        <w:jc w:val="both"/>
        <w:rPr>
          <w:b/>
        </w:rPr>
      </w:pPr>
      <w:r w:rsidRPr="00196EA7">
        <w:rPr>
          <w:b/>
        </w:rPr>
        <w:t>V</w:t>
      </w:r>
      <w:r>
        <w:rPr>
          <w:b/>
        </w:rPr>
        <w:t>II</w:t>
      </w:r>
      <w:r w:rsidRPr="00196EA7">
        <w:rPr>
          <w:b/>
        </w:rPr>
        <w:t xml:space="preserve"> – </w:t>
      </w:r>
      <w:r>
        <w:rPr>
          <w:b/>
        </w:rPr>
        <w:t>Manifestaçõe</w:t>
      </w:r>
      <w:r w:rsidRPr="00196EA7">
        <w:rPr>
          <w:b/>
        </w:rPr>
        <w:t>s recebidas no ano de 2</w:t>
      </w:r>
      <w:r>
        <w:rPr>
          <w:b/>
        </w:rPr>
        <w:t>.</w:t>
      </w:r>
      <w:r w:rsidRPr="00196EA7">
        <w:rPr>
          <w:b/>
        </w:rPr>
        <w:t>01</w:t>
      </w:r>
      <w:r w:rsidR="00452BE5">
        <w:rPr>
          <w:b/>
        </w:rPr>
        <w:t>3</w:t>
      </w:r>
    </w:p>
    <w:p w:rsidR="00581447" w:rsidRDefault="00581447" w:rsidP="00581447">
      <w:pPr>
        <w:ind w:firstLine="709"/>
        <w:jc w:val="both"/>
      </w:pPr>
      <w:r>
        <w:t xml:space="preserve">Procuraram a Ouvidoria </w:t>
      </w:r>
      <w:r w:rsidR="00C00F65">
        <w:t>durante o ano de 2.01</w:t>
      </w:r>
      <w:r w:rsidR="00452BE5">
        <w:t>3</w:t>
      </w:r>
      <w:r w:rsidR="00C00F65">
        <w:t xml:space="preserve"> </w:t>
      </w:r>
      <w:r>
        <w:t>quer pessoalmente quer por telefone, sendo orientadas a respeito de suas preocupações</w:t>
      </w:r>
      <w:r w:rsidR="00C00F65">
        <w:t>,</w:t>
      </w:r>
      <w:r>
        <w:t xml:space="preserve"> </w:t>
      </w:r>
      <w:r w:rsidR="00452BE5">
        <w:t>15.757</w:t>
      </w:r>
      <w:r>
        <w:t xml:space="preserve"> (</w:t>
      </w:r>
      <w:r w:rsidR="00452BE5">
        <w:t>quinze</w:t>
      </w:r>
      <w:r w:rsidR="004F0DA4">
        <w:t xml:space="preserve"> mil, </w:t>
      </w:r>
      <w:r w:rsidR="00452BE5">
        <w:t>setecentas e cinquenta e sete</w:t>
      </w:r>
      <w:r w:rsidR="00F63482">
        <w:t>) pessoas, sendo 2.972</w:t>
      </w:r>
      <w:r>
        <w:t xml:space="preserve"> (</w:t>
      </w:r>
      <w:r w:rsidR="004D5F40">
        <w:t xml:space="preserve">duas mil, </w:t>
      </w:r>
      <w:r w:rsidR="00F63482">
        <w:t>novecentas e setenta e duas</w:t>
      </w:r>
      <w:r>
        <w:t xml:space="preserve">) por telefone e </w:t>
      </w:r>
      <w:r w:rsidR="00F63482">
        <w:t>40</w:t>
      </w:r>
      <w:r>
        <w:t xml:space="preserve"> (</w:t>
      </w:r>
      <w:r w:rsidR="00F63482">
        <w:t>quarenta</w:t>
      </w:r>
      <w:r>
        <w:t>) pessoalmente.</w:t>
      </w:r>
    </w:p>
    <w:p w:rsidR="00581447" w:rsidRDefault="00581447" w:rsidP="00581447">
      <w:pPr>
        <w:ind w:firstLine="709"/>
        <w:jc w:val="both"/>
      </w:pPr>
      <w:r>
        <w:t xml:space="preserve">As demais manifestações estão assim distribuídas: </w:t>
      </w:r>
      <w:r w:rsidR="00F63482">
        <w:t>12.557</w:t>
      </w:r>
      <w:r w:rsidR="004D5F40">
        <w:t xml:space="preserve"> (</w:t>
      </w:r>
      <w:r w:rsidR="00F63482">
        <w:t>doze mil, quinhentas e cinquenta e sete</w:t>
      </w:r>
      <w:r>
        <w:t xml:space="preserve">) mensagens por meio eletrônico e </w:t>
      </w:r>
      <w:r w:rsidR="00F63482">
        <w:t>188</w:t>
      </w:r>
      <w:r>
        <w:t xml:space="preserve"> (</w:t>
      </w:r>
      <w:r w:rsidR="004D5F40">
        <w:t xml:space="preserve">cento e </w:t>
      </w:r>
      <w:r w:rsidR="00F63482">
        <w:t>oitenta e oito</w:t>
      </w:r>
      <w:r>
        <w:t>) por carta.</w:t>
      </w:r>
    </w:p>
    <w:p w:rsidR="00581447" w:rsidRDefault="00581447" w:rsidP="00581447">
      <w:pPr>
        <w:ind w:firstLine="709"/>
        <w:jc w:val="both"/>
      </w:pPr>
      <w:r>
        <w:t xml:space="preserve">As manifestações foram classificadas da seguinte forma: </w:t>
      </w:r>
    </w:p>
    <w:p w:rsidR="008340B6" w:rsidRDefault="008340B6" w:rsidP="00581447">
      <w:pPr>
        <w:ind w:firstLine="709"/>
        <w:jc w:val="both"/>
      </w:pPr>
    </w:p>
    <w:p w:rsidR="008340B6" w:rsidRDefault="008340B6" w:rsidP="00581447">
      <w:pPr>
        <w:ind w:firstLine="709"/>
        <w:jc w:val="both"/>
      </w:pPr>
    </w:p>
    <w:tbl>
      <w:tblPr>
        <w:tblStyle w:val="SombreamentoClaro-nfase1"/>
        <w:tblW w:w="8200" w:type="dxa"/>
        <w:tblLook w:val="04A0" w:firstRow="1" w:lastRow="0" w:firstColumn="1" w:lastColumn="0" w:noHBand="0" w:noVBand="1"/>
      </w:tblPr>
      <w:tblGrid>
        <w:gridCol w:w="7436"/>
        <w:gridCol w:w="764"/>
      </w:tblGrid>
      <w:tr w:rsidR="00581447" w:rsidRPr="00943512" w:rsidTr="008E0D35">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7436" w:type="dxa"/>
            <w:noWrap/>
            <w:hideMark/>
          </w:tcPr>
          <w:p w:rsidR="00581447" w:rsidRDefault="00581447" w:rsidP="008E0D35">
            <w:pPr>
              <w:spacing w:after="0" w:line="240" w:lineRule="auto"/>
              <w:rPr>
                <w:rFonts w:eastAsia="Times New Roman"/>
                <w:color w:val="000000"/>
                <w:sz w:val="24"/>
                <w:szCs w:val="24"/>
                <w:lang w:eastAsia="pt-BR"/>
              </w:rPr>
            </w:pPr>
          </w:p>
        </w:tc>
        <w:tc>
          <w:tcPr>
            <w:tcW w:w="764" w:type="dxa"/>
            <w:noWrap/>
            <w:hideMark/>
          </w:tcPr>
          <w:p w:rsidR="00581447" w:rsidRDefault="00581447" w:rsidP="008E0D3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4"/>
                <w:szCs w:val="24"/>
                <w:lang w:eastAsia="pt-BR"/>
              </w:rPr>
            </w:pPr>
          </w:p>
        </w:tc>
      </w:tr>
      <w:tr w:rsidR="00581447" w:rsidRPr="00943512" w:rsidTr="008E0D35">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7436" w:type="dxa"/>
            <w:noWrap/>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Apreciações e comentários</w:t>
            </w:r>
          </w:p>
        </w:tc>
        <w:tc>
          <w:tcPr>
            <w:tcW w:w="764" w:type="dxa"/>
            <w:noWrap/>
            <w:vAlign w:val="bottom"/>
            <w:hideMark/>
          </w:tcPr>
          <w:p w:rsidR="00581447" w:rsidRPr="00605CBC" w:rsidRDefault="00A32BA7" w:rsidP="008E0D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pt-BR"/>
              </w:rPr>
            </w:pPr>
            <w:r>
              <w:rPr>
                <w:rFonts w:eastAsia="Times New Roman"/>
                <w:color w:val="000000"/>
                <w:sz w:val="24"/>
                <w:szCs w:val="24"/>
                <w:lang w:eastAsia="pt-BR"/>
              </w:rPr>
              <w:t>441</w:t>
            </w:r>
          </w:p>
        </w:tc>
      </w:tr>
      <w:tr w:rsidR="00581447" w:rsidRPr="00943512" w:rsidTr="008E0D35">
        <w:trPr>
          <w:trHeight w:val="199"/>
        </w:trPr>
        <w:tc>
          <w:tcPr>
            <w:cnfStyle w:val="001000000000" w:firstRow="0" w:lastRow="0" w:firstColumn="1" w:lastColumn="0" w:oddVBand="0" w:evenVBand="0" w:oddHBand="0" w:evenHBand="0" w:firstRowFirstColumn="0" w:firstRowLastColumn="0" w:lastRowFirstColumn="0" w:lastRowLastColumn="0"/>
            <w:tcW w:w="8200" w:type="dxa"/>
            <w:gridSpan w:val="2"/>
            <w:noWrap/>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8E0D35">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7436" w:type="dxa"/>
            <w:noWrap/>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Críticas e elogios</w:t>
            </w:r>
          </w:p>
        </w:tc>
        <w:tc>
          <w:tcPr>
            <w:tcW w:w="764" w:type="dxa"/>
            <w:noWrap/>
            <w:vAlign w:val="bottom"/>
            <w:hideMark/>
          </w:tcPr>
          <w:p w:rsidR="00581447" w:rsidRPr="00605CBC" w:rsidRDefault="00A32BA7" w:rsidP="00A32B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pt-BR"/>
              </w:rPr>
            </w:pPr>
            <w:r>
              <w:rPr>
                <w:rFonts w:eastAsia="Times New Roman"/>
                <w:color w:val="000000"/>
                <w:sz w:val="24"/>
                <w:szCs w:val="24"/>
                <w:lang w:eastAsia="pt-BR"/>
              </w:rPr>
              <w:t xml:space="preserve">  107</w:t>
            </w:r>
          </w:p>
        </w:tc>
      </w:tr>
      <w:tr w:rsidR="00581447" w:rsidRPr="00943512" w:rsidTr="008E0D35">
        <w:trPr>
          <w:trHeight w:val="199"/>
        </w:trPr>
        <w:tc>
          <w:tcPr>
            <w:cnfStyle w:val="001000000000" w:firstRow="0" w:lastRow="0" w:firstColumn="1" w:lastColumn="0" w:oddVBand="0" w:evenVBand="0" w:oddHBand="0" w:evenHBand="0" w:firstRowFirstColumn="0" w:firstRowLastColumn="0" w:lastRowFirstColumn="0" w:lastRowLastColumn="0"/>
            <w:tcW w:w="8200" w:type="dxa"/>
            <w:gridSpan w:val="2"/>
            <w:noWrap/>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8E0D35">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7436" w:type="dxa"/>
            <w:noWrap/>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Denúncias</w:t>
            </w:r>
          </w:p>
        </w:tc>
        <w:tc>
          <w:tcPr>
            <w:tcW w:w="764" w:type="dxa"/>
            <w:noWrap/>
            <w:vAlign w:val="bottom"/>
            <w:hideMark/>
          </w:tcPr>
          <w:p w:rsidR="00581447" w:rsidRPr="00605CBC" w:rsidRDefault="00A32BA7" w:rsidP="004D5F40">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pt-BR"/>
              </w:rPr>
            </w:pPr>
            <w:r>
              <w:rPr>
                <w:rFonts w:eastAsia="Times New Roman"/>
                <w:color w:val="000000"/>
                <w:sz w:val="24"/>
                <w:szCs w:val="24"/>
                <w:lang w:eastAsia="pt-BR"/>
              </w:rPr>
              <w:t>3.384</w:t>
            </w:r>
          </w:p>
        </w:tc>
      </w:tr>
      <w:tr w:rsidR="00581447" w:rsidRPr="00943512" w:rsidTr="008E0D35">
        <w:trPr>
          <w:trHeight w:val="199"/>
        </w:trPr>
        <w:tc>
          <w:tcPr>
            <w:cnfStyle w:val="001000000000" w:firstRow="0" w:lastRow="0" w:firstColumn="1" w:lastColumn="0" w:oddVBand="0" w:evenVBand="0" w:oddHBand="0" w:evenHBand="0" w:firstRowFirstColumn="0" w:firstRowLastColumn="0" w:lastRowFirstColumn="0" w:lastRowLastColumn="0"/>
            <w:tcW w:w="8200" w:type="dxa"/>
            <w:gridSpan w:val="2"/>
            <w:noWrap/>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8E0D35">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7436" w:type="dxa"/>
            <w:noWrap/>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Pedido de informações</w:t>
            </w:r>
          </w:p>
        </w:tc>
        <w:tc>
          <w:tcPr>
            <w:tcW w:w="764" w:type="dxa"/>
            <w:noWrap/>
            <w:vAlign w:val="bottom"/>
            <w:hideMark/>
          </w:tcPr>
          <w:p w:rsidR="00581447" w:rsidRPr="00605CBC" w:rsidRDefault="00A32BA7" w:rsidP="008E0D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pt-BR"/>
              </w:rPr>
            </w:pPr>
            <w:r>
              <w:rPr>
                <w:rFonts w:eastAsia="Times New Roman"/>
                <w:color w:val="000000"/>
                <w:sz w:val="24"/>
                <w:szCs w:val="24"/>
                <w:lang w:eastAsia="pt-BR"/>
              </w:rPr>
              <w:t>4.971</w:t>
            </w:r>
          </w:p>
        </w:tc>
      </w:tr>
      <w:tr w:rsidR="00581447" w:rsidRPr="00943512" w:rsidTr="008E0D35">
        <w:trPr>
          <w:trHeight w:val="199"/>
        </w:trPr>
        <w:tc>
          <w:tcPr>
            <w:cnfStyle w:val="001000000000" w:firstRow="0" w:lastRow="0" w:firstColumn="1" w:lastColumn="0" w:oddVBand="0" w:evenVBand="0" w:oddHBand="0" w:evenHBand="0" w:firstRowFirstColumn="0" w:firstRowLastColumn="0" w:lastRowFirstColumn="0" w:lastRowLastColumn="0"/>
            <w:tcW w:w="8200" w:type="dxa"/>
            <w:gridSpan w:val="2"/>
            <w:noWrap/>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8E0D35">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7436" w:type="dxa"/>
            <w:noWrap/>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Reclamações</w:t>
            </w:r>
          </w:p>
        </w:tc>
        <w:tc>
          <w:tcPr>
            <w:tcW w:w="764" w:type="dxa"/>
            <w:noWrap/>
            <w:vAlign w:val="bottom"/>
            <w:hideMark/>
          </w:tcPr>
          <w:p w:rsidR="00581447" w:rsidRPr="00605CBC" w:rsidRDefault="00A32BA7" w:rsidP="008E0D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pt-BR"/>
              </w:rPr>
            </w:pPr>
            <w:r>
              <w:rPr>
                <w:rFonts w:eastAsia="Times New Roman"/>
                <w:color w:val="000000"/>
                <w:sz w:val="24"/>
                <w:szCs w:val="24"/>
                <w:lang w:eastAsia="pt-BR"/>
              </w:rPr>
              <w:t>5.784</w:t>
            </w:r>
          </w:p>
        </w:tc>
      </w:tr>
      <w:tr w:rsidR="00581447" w:rsidRPr="00943512" w:rsidTr="008E0D35">
        <w:trPr>
          <w:trHeight w:val="199"/>
        </w:trPr>
        <w:tc>
          <w:tcPr>
            <w:cnfStyle w:val="001000000000" w:firstRow="0" w:lastRow="0" w:firstColumn="1" w:lastColumn="0" w:oddVBand="0" w:evenVBand="0" w:oddHBand="0" w:evenHBand="0" w:firstRowFirstColumn="0" w:firstRowLastColumn="0" w:lastRowFirstColumn="0" w:lastRowLastColumn="0"/>
            <w:tcW w:w="8200" w:type="dxa"/>
            <w:gridSpan w:val="2"/>
            <w:noWrap/>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8E0D35">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7436" w:type="dxa"/>
            <w:noWrap/>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Sugestões</w:t>
            </w:r>
          </w:p>
        </w:tc>
        <w:tc>
          <w:tcPr>
            <w:tcW w:w="764" w:type="dxa"/>
            <w:noWrap/>
            <w:vAlign w:val="bottom"/>
            <w:hideMark/>
          </w:tcPr>
          <w:p w:rsidR="00581447" w:rsidRPr="00605CBC" w:rsidRDefault="00A32BA7" w:rsidP="008E0D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pt-BR"/>
              </w:rPr>
            </w:pPr>
            <w:r>
              <w:rPr>
                <w:rFonts w:eastAsia="Times New Roman"/>
                <w:color w:val="000000"/>
                <w:sz w:val="24"/>
                <w:szCs w:val="24"/>
                <w:lang w:eastAsia="pt-BR"/>
              </w:rPr>
              <w:t>58</w:t>
            </w:r>
          </w:p>
        </w:tc>
      </w:tr>
      <w:tr w:rsidR="00581447" w:rsidRPr="00943512" w:rsidTr="008E0D35">
        <w:trPr>
          <w:trHeight w:val="199"/>
        </w:trPr>
        <w:tc>
          <w:tcPr>
            <w:cnfStyle w:val="001000000000" w:firstRow="0" w:lastRow="0" w:firstColumn="1" w:lastColumn="0" w:oddVBand="0" w:evenVBand="0" w:oddHBand="0" w:evenHBand="0" w:firstRowFirstColumn="0" w:firstRowLastColumn="0" w:lastRowFirstColumn="0" w:lastRowLastColumn="0"/>
            <w:tcW w:w="8200" w:type="dxa"/>
            <w:gridSpan w:val="2"/>
            <w:noWrap/>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8E0D35">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7436" w:type="dxa"/>
            <w:noWrap/>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Diversos</w:t>
            </w:r>
          </w:p>
        </w:tc>
        <w:tc>
          <w:tcPr>
            <w:tcW w:w="764" w:type="dxa"/>
            <w:noWrap/>
            <w:vAlign w:val="bottom"/>
            <w:hideMark/>
          </w:tcPr>
          <w:p w:rsidR="00581447" w:rsidRPr="00605CBC" w:rsidRDefault="00A32BA7" w:rsidP="004D5F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pt-BR"/>
              </w:rPr>
            </w:pPr>
            <w:r>
              <w:rPr>
                <w:rFonts w:eastAsia="Times New Roman"/>
                <w:color w:val="000000"/>
                <w:sz w:val="24"/>
                <w:szCs w:val="24"/>
                <w:lang w:eastAsia="pt-BR"/>
              </w:rPr>
              <w:t>1.012</w:t>
            </w:r>
          </w:p>
        </w:tc>
      </w:tr>
    </w:tbl>
    <w:p w:rsidR="00581447" w:rsidRDefault="00581447" w:rsidP="00581447">
      <w:pPr>
        <w:jc w:val="both"/>
      </w:pPr>
    </w:p>
    <w:p w:rsidR="00581447" w:rsidRDefault="00581447" w:rsidP="00581447">
      <w:pPr>
        <w:ind w:firstLine="709"/>
        <w:jc w:val="both"/>
      </w:pPr>
    </w:p>
    <w:p w:rsidR="008340B6" w:rsidRDefault="008340B6" w:rsidP="00581447">
      <w:pPr>
        <w:ind w:firstLine="709"/>
        <w:jc w:val="both"/>
      </w:pPr>
    </w:p>
    <w:p w:rsidR="008340B6" w:rsidRDefault="008340B6" w:rsidP="00581447">
      <w:pPr>
        <w:ind w:firstLine="709"/>
        <w:jc w:val="both"/>
      </w:pPr>
    </w:p>
    <w:p w:rsidR="00581447" w:rsidRDefault="00581447" w:rsidP="00581447">
      <w:pPr>
        <w:ind w:firstLine="709"/>
        <w:jc w:val="both"/>
      </w:pPr>
      <w:r>
        <w:t>As providências tomadas em relação às manifestações recebidas pela Ouvidoria estão relacionadas no quadro a seguir.</w:t>
      </w:r>
    </w:p>
    <w:p w:rsidR="00581447" w:rsidRDefault="00581447" w:rsidP="00581447">
      <w:pPr>
        <w:ind w:firstLine="709"/>
        <w:jc w:val="both"/>
      </w:pPr>
    </w:p>
    <w:p w:rsidR="008340B6" w:rsidRDefault="008340B6" w:rsidP="00581447">
      <w:pPr>
        <w:ind w:firstLine="709"/>
        <w:jc w:val="both"/>
      </w:pPr>
    </w:p>
    <w:p w:rsidR="00581447" w:rsidRDefault="00581447" w:rsidP="00581447">
      <w:pPr>
        <w:ind w:firstLine="709"/>
        <w:jc w:val="both"/>
      </w:pPr>
    </w:p>
    <w:p w:rsidR="00581447" w:rsidRDefault="00581447" w:rsidP="00581447">
      <w:pPr>
        <w:ind w:firstLine="709"/>
        <w:jc w:val="both"/>
      </w:pPr>
    </w:p>
    <w:tbl>
      <w:tblPr>
        <w:tblStyle w:val="SombreamentoClaro-nfase1"/>
        <w:tblW w:w="8200" w:type="dxa"/>
        <w:tblLook w:val="04A0" w:firstRow="1" w:lastRow="0" w:firstColumn="1" w:lastColumn="0" w:noHBand="0" w:noVBand="1"/>
      </w:tblPr>
      <w:tblGrid>
        <w:gridCol w:w="7436"/>
        <w:gridCol w:w="764"/>
      </w:tblGrid>
      <w:tr w:rsidR="00581447" w:rsidRPr="00943512" w:rsidTr="00C77E8F">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8200" w:type="dxa"/>
            <w:gridSpan w:val="2"/>
            <w:vMerge w:val="restart"/>
            <w:noWrap/>
            <w:hideMark/>
          </w:tcPr>
          <w:p w:rsidR="00581447" w:rsidRPr="00605CBC" w:rsidRDefault="00581447" w:rsidP="008E0D35">
            <w:pPr>
              <w:spacing w:after="0" w:line="240" w:lineRule="auto"/>
              <w:jc w:val="center"/>
              <w:rPr>
                <w:rFonts w:eastAsia="Times New Roman"/>
                <w:b w:val="0"/>
                <w:bCs w:val="0"/>
                <w:color w:val="000000"/>
                <w:sz w:val="24"/>
                <w:szCs w:val="24"/>
                <w:lang w:eastAsia="pt-BR"/>
              </w:rPr>
            </w:pPr>
            <w:r w:rsidRPr="00605CBC">
              <w:rPr>
                <w:rFonts w:eastAsia="Times New Roman"/>
                <w:color w:val="000000"/>
                <w:sz w:val="24"/>
                <w:szCs w:val="24"/>
                <w:lang w:eastAsia="pt-BR"/>
              </w:rPr>
              <w:t xml:space="preserve">PROVIDÊNCIAS </w:t>
            </w:r>
          </w:p>
        </w:tc>
      </w:tr>
      <w:tr w:rsidR="00581447" w:rsidRPr="00943512" w:rsidTr="00C77E8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8200" w:type="dxa"/>
            <w:gridSpan w:val="2"/>
            <w:vMerge/>
            <w:hideMark/>
          </w:tcPr>
          <w:p w:rsidR="00581447" w:rsidRPr="00605CBC" w:rsidRDefault="00581447" w:rsidP="008E0D35">
            <w:pPr>
              <w:spacing w:after="0" w:line="240" w:lineRule="auto"/>
              <w:rPr>
                <w:rFonts w:eastAsia="Times New Roman"/>
                <w:b w:val="0"/>
                <w:bCs w:val="0"/>
                <w:color w:val="000000"/>
                <w:sz w:val="24"/>
                <w:szCs w:val="24"/>
                <w:lang w:eastAsia="pt-BR"/>
              </w:rPr>
            </w:pPr>
          </w:p>
        </w:tc>
      </w:tr>
      <w:tr w:rsidR="00581447" w:rsidRPr="00943512" w:rsidTr="00C77E8F">
        <w:trPr>
          <w:trHeight w:val="300"/>
        </w:trPr>
        <w:tc>
          <w:tcPr>
            <w:cnfStyle w:val="001000000000" w:firstRow="0" w:lastRow="0" w:firstColumn="1" w:lastColumn="0" w:oddVBand="0" w:evenVBand="0" w:oddHBand="0" w:evenHBand="0" w:firstRowFirstColumn="0" w:firstRowLastColumn="0" w:lastRowFirstColumn="0" w:lastRowLastColumn="0"/>
            <w:tcW w:w="8200" w:type="dxa"/>
            <w:gridSpan w:val="2"/>
            <w:noWrap/>
            <w:hideMark/>
          </w:tcPr>
          <w:p w:rsidR="00581447" w:rsidRPr="00605CBC" w:rsidRDefault="00581447" w:rsidP="008E0D35">
            <w:pPr>
              <w:spacing w:after="0" w:line="240" w:lineRule="auto"/>
              <w:jc w:val="center"/>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C77E8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7436" w:type="dxa"/>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Encaminhamento à Promotoria de Justiça da região</w:t>
            </w:r>
          </w:p>
        </w:tc>
        <w:tc>
          <w:tcPr>
            <w:tcW w:w="764" w:type="dxa"/>
            <w:noWrap/>
            <w:vAlign w:val="bottom"/>
            <w:hideMark/>
          </w:tcPr>
          <w:p w:rsidR="00581447" w:rsidRPr="00605CBC" w:rsidRDefault="00BC0C65" w:rsidP="008E0D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pt-BR"/>
              </w:rPr>
            </w:pPr>
            <w:r>
              <w:rPr>
                <w:rFonts w:eastAsia="Times New Roman"/>
                <w:color w:val="000000"/>
                <w:sz w:val="24"/>
                <w:szCs w:val="24"/>
                <w:lang w:eastAsia="pt-BR"/>
              </w:rPr>
              <w:t>3.013</w:t>
            </w:r>
          </w:p>
        </w:tc>
      </w:tr>
      <w:tr w:rsidR="00581447" w:rsidRPr="00943512" w:rsidTr="00C77E8F">
        <w:trPr>
          <w:trHeight w:val="199"/>
        </w:trPr>
        <w:tc>
          <w:tcPr>
            <w:cnfStyle w:val="001000000000" w:firstRow="0" w:lastRow="0" w:firstColumn="1" w:lastColumn="0" w:oddVBand="0" w:evenVBand="0" w:oddHBand="0" w:evenHBand="0" w:firstRowFirstColumn="0" w:firstRowLastColumn="0" w:lastRowFirstColumn="0" w:lastRowLastColumn="0"/>
            <w:tcW w:w="8200" w:type="dxa"/>
            <w:gridSpan w:val="2"/>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C77E8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7436" w:type="dxa"/>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Encaminhamento ao CAO Cível</w:t>
            </w:r>
          </w:p>
        </w:tc>
        <w:tc>
          <w:tcPr>
            <w:tcW w:w="764" w:type="dxa"/>
            <w:noWrap/>
            <w:vAlign w:val="bottom"/>
            <w:hideMark/>
          </w:tcPr>
          <w:p w:rsidR="00581447" w:rsidRPr="00605CBC" w:rsidRDefault="00A32BA7" w:rsidP="008E0D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pt-BR"/>
              </w:rPr>
            </w:pPr>
            <w:r>
              <w:rPr>
                <w:rFonts w:eastAsia="Times New Roman"/>
                <w:color w:val="000000"/>
                <w:sz w:val="24"/>
                <w:szCs w:val="24"/>
                <w:lang w:eastAsia="pt-BR"/>
              </w:rPr>
              <w:t xml:space="preserve"> 78</w:t>
            </w:r>
          </w:p>
        </w:tc>
      </w:tr>
      <w:tr w:rsidR="00581447" w:rsidRPr="00943512" w:rsidTr="00C77E8F">
        <w:trPr>
          <w:trHeight w:val="199"/>
        </w:trPr>
        <w:tc>
          <w:tcPr>
            <w:cnfStyle w:val="001000000000" w:firstRow="0" w:lastRow="0" w:firstColumn="1" w:lastColumn="0" w:oddVBand="0" w:evenVBand="0" w:oddHBand="0" w:evenHBand="0" w:firstRowFirstColumn="0" w:firstRowLastColumn="0" w:lastRowFirstColumn="0" w:lastRowLastColumn="0"/>
            <w:tcW w:w="8200" w:type="dxa"/>
            <w:gridSpan w:val="2"/>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C77E8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7436" w:type="dxa"/>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Encaminhamento ao CAO Criminal</w:t>
            </w:r>
          </w:p>
        </w:tc>
        <w:tc>
          <w:tcPr>
            <w:tcW w:w="764" w:type="dxa"/>
            <w:noWrap/>
            <w:vAlign w:val="bottom"/>
            <w:hideMark/>
          </w:tcPr>
          <w:p w:rsidR="00581447" w:rsidRPr="00605CBC" w:rsidRDefault="00A32BA7" w:rsidP="008E0D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pt-BR"/>
              </w:rPr>
            </w:pPr>
            <w:r>
              <w:rPr>
                <w:rFonts w:eastAsia="Times New Roman"/>
                <w:color w:val="000000"/>
                <w:sz w:val="24"/>
                <w:szCs w:val="24"/>
                <w:lang w:eastAsia="pt-BR"/>
              </w:rPr>
              <w:t>200</w:t>
            </w:r>
          </w:p>
        </w:tc>
      </w:tr>
      <w:tr w:rsidR="00581447" w:rsidRPr="00943512" w:rsidTr="00C77E8F">
        <w:trPr>
          <w:trHeight w:val="199"/>
        </w:trPr>
        <w:tc>
          <w:tcPr>
            <w:cnfStyle w:val="001000000000" w:firstRow="0" w:lastRow="0" w:firstColumn="1" w:lastColumn="0" w:oddVBand="0" w:evenVBand="0" w:oddHBand="0" w:evenHBand="0" w:firstRowFirstColumn="0" w:firstRowLastColumn="0" w:lastRowFirstColumn="0" w:lastRowLastColumn="0"/>
            <w:tcW w:w="8200" w:type="dxa"/>
            <w:gridSpan w:val="2"/>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AD4639" w:rsidTr="00C77E8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7436" w:type="dxa"/>
            <w:noWrap/>
            <w:vAlign w:val="bottom"/>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Encaminhamento a Grupos Especiais (GAECO/GEDUC/GAEMA/GECEP)</w:t>
            </w:r>
          </w:p>
        </w:tc>
        <w:tc>
          <w:tcPr>
            <w:tcW w:w="764" w:type="dxa"/>
            <w:noWrap/>
            <w:vAlign w:val="bottom"/>
            <w:hideMark/>
          </w:tcPr>
          <w:p w:rsidR="00581447" w:rsidRPr="00605CBC" w:rsidRDefault="00581447" w:rsidP="008E0D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pt-BR"/>
              </w:rPr>
            </w:pPr>
            <w:r>
              <w:rPr>
                <w:rFonts w:eastAsia="Times New Roman"/>
                <w:color w:val="000000"/>
                <w:sz w:val="24"/>
                <w:szCs w:val="24"/>
                <w:lang w:eastAsia="pt-BR"/>
              </w:rPr>
              <w:t xml:space="preserve">   </w:t>
            </w:r>
            <w:r w:rsidR="00A32BA7">
              <w:rPr>
                <w:rFonts w:eastAsia="Times New Roman"/>
                <w:color w:val="000000"/>
                <w:sz w:val="24"/>
                <w:szCs w:val="24"/>
                <w:lang w:eastAsia="pt-BR"/>
              </w:rPr>
              <w:t>337</w:t>
            </w:r>
          </w:p>
        </w:tc>
      </w:tr>
      <w:tr w:rsidR="00581447" w:rsidRPr="00AD4639" w:rsidTr="00C77E8F">
        <w:trPr>
          <w:trHeight w:val="199"/>
        </w:trPr>
        <w:tc>
          <w:tcPr>
            <w:cnfStyle w:val="001000000000" w:firstRow="0" w:lastRow="0" w:firstColumn="1" w:lastColumn="0" w:oddVBand="0" w:evenVBand="0" w:oddHBand="0" w:evenHBand="0" w:firstRowFirstColumn="0" w:firstRowLastColumn="0" w:lastRowFirstColumn="0" w:lastRowLastColumn="0"/>
            <w:tcW w:w="8200" w:type="dxa"/>
            <w:gridSpan w:val="2"/>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AD4639" w:rsidTr="00C77E8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200" w:type="dxa"/>
            <w:gridSpan w:val="2"/>
            <w:noWrap/>
            <w:vAlign w:val="bottom"/>
            <w:hideMark/>
          </w:tcPr>
          <w:p w:rsidR="00581447" w:rsidRPr="00605CBC" w:rsidRDefault="00581447" w:rsidP="007461C1">
            <w:pPr>
              <w:spacing w:after="0" w:line="240" w:lineRule="auto"/>
              <w:jc w:val="center"/>
              <w:rPr>
                <w:rFonts w:eastAsia="Times New Roman"/>
                <w:color w:val="000000"/>
                <w:sz w:val="24"/>
                <w:szCs w:val="24"/>
                <w:lang w:eastAsia="pt-BR"/>
              </w:rPr>
            </w:pPr>
            <w:r>
              <w:rPr>
                <w:rFonts w:eastAsia="Times New Roman"/>
                <w:color w:val="000000"/>
                <w:sz w:val="24"/>
                <w:szCs w:val="24"/>
                <w:lang w:eastAsia="pt-BR"/>
              </w:rPr>
              <w:lastRenderedPageBreak/>
              <w:t xml:space="preserve">Encaminhamento às Subprocuradorias/CSMP                                                           </w:t>
            </w:r>
            <w:r w:rsidR="00A32BA7">
              <w:rPr>
                <w:rFonts w:eastAsia="Times New Roman"/>
                <w:b w:val="0"/>
                <w:color w:val="000000"/>
                <w:sz w:val="24"/>
                <w:szCs w:val="24"/>
                <w:lang w:eastAsia="pt-BR"/>
              </w:rPr>
              <w:t>19</w:t>
            </w:r>
          </w:p>
        </w:tc>
      </w:tr>
      <w:tr w:rsidR="00581447" w:rsidRPr="00AD4639" w:rsidTr="00C77E8F">
        <w:trPr>
          <w:trHeight w:val="199"/>
        </w:trPr>
        <w:tc>
          <w:tcPr>
            <w:cnfStyle w:val="001000000000" w:firstRow="0" w:lastRow="0" w:firstColumn="1" w:lastColumn="0" w:oddVBand="0" w:evenVBand="0" w:oddHBand="0" w:evenHBand="0" w:firstRowFirstColumn="0" w:firstRowLastColumn="0" w:lastRowFirstColumn="0" w:lastRowLastColumn="0"/>
            <w:tcW w:w="8200" w:type="dxa"/>
            <w:gridSpan w:val="2"/>
            <w:noWrap/>
            <w:vAlign w:val="bottom"/>
            <w:hideMark/>
          </w:tcPr>
          <w:p w:rsidR="00581447" w:rsidRPr="00605CBC" w:rsidRDefault="00581447" w:rsidP="008E0D35">
            <w:pPr>
              <w:spacing w:after="0" w:line="240" w:lineRule="auto"/>
              <w:rPr>
                <w:rFonts w:eastAsia="Times New Roman"/>
                <w:color w:val="000000"/>
                <w:sz w:val="24"/>
                <w:szCs w:val="24"/>
                <w:lang w:eastAsia="pt-BR"/>
              </w:rPr>
            </w:pPr>
          </w:p>
        </w:tc>
      </w:tr>
      <w:tr w:rsidR="00581447" w:rsidRPr="00943512" w:rsidTr="00C77E8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7436" w:type="dxa"/>
            <w:noWrap/>
            <w:vAlign w:val="bottom"/>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 xml:space="preserve">Encaminhamento à </w:t>
            </w:r>
            <w:r w:rsidRPr="00605CBC">
              <w:rPr>
                <w:rFonts w:eastAsia="Times New Roman"/>
                <w:color w:val="000000"/>
                <w:sz w:val="24"/>
                <w:szCs w:val="24"/>
                <w:lang w:eastAsia="pt-BR"/>
              </w:rPr>
              <w:t xml:space="preserve">Corregedoria </w:t>
            </w:r>
            <w:r>
              <w:rPr>
                <w:rFonts w:eastAsia="Times New Roman"/>
                <w:color w:val="000000"/>
                <w:sz w:val="24"/>
                <w:szCs w:val="24"/>
                <w:lang w:eastAsia="pt-BR"/>
              </w:rPr>
              <w:t>–</w:t>
            </w:r>
            <w:r w:rsidRPr="00605CBC">
              <w:rPr>
                <w:rFonts w:eastAsia="Times New Roman"/>
                <w:color w:val="000000"/>
                <w:sz w:val="24"/>
                <w:szCs w:val="24"/>
                <w:lang w:eastAsia="pt-BR"/>
              </w:rPr>
              <w:t xml:space="preserve"> MPSP</w:t>
            </w:r>
            <w:r>
              <w:rPr>
                <w:rFonts w:eastAsia="Times New Roman"/>
                <w:color w:val="000000"/>
                <w:sz w:val="24"/>
                <w:szCs w:val="24"/>
                <w:lang w:eastAsia="pt-BR"/>
              </w:rPr>
              <w:t xml:space="preserve">                </w:t>
            </w:r>
          </w:p>
        </w:tc>
        <w:tc>
          <w:tcPr>
            <w:tcW w:w="764" w:type="dxa"/>
            <w:noWrap/>
            <w:vAlign w:val="bottom"/>
            <w:hideMark/>
          </w:tcPr>
          <w:p w:rsidR="00581447" w:rsidRPr="00605CBC" w:rsidRDefault="00581447" w:rsidP="008E0D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pt-BR"/>
              </w:rPr>
            </w:pPr>
            <w:r>
              <w:rPr>
                <w:rFonts w:eastAsia="Times New Roman"/>
                <w:color w:val="000000"/>
                <w:sz w:val="24"/>
                <w:szCs w:val="24"/>
                <w:lang w:eastAsia="pt-BR"/>
              </w:rPr>
              <w:t xml:space="preserve">    </w:t>
            </w:r>
            <w:r w:rsidR="00A32BA7">
              <w:rPr>
                <w:rFonts w:eastAsia="Times New Roman"/>
                <w:color w:val="000000"/>
                <w:sz w:val="24"/>
                <w:szCs w:val="24"/>
                <w:lang w:eastAsia="pt-BR"/>
              </w:rPr>
              <w:t>61</w:t>
            </w:r>
          </w:p>
        </w:tc>
      </w:tr>
      <w:tr w:rsidR="00581447" w:rsidRPr="00943512" w:rsidTr="00C77E8F">
        <w:trPr>
          <w:trHeight w:val="199"/>
        </w:trPr>
        <w:tc>
          <w:tcPr>
            <w:cnfStyle w:val="001000000000" w:firstRow="0" w:lastRow="0" w:firstColumn="1" w:lastColumn="0" w:oddVBand="0" w:evenVBand="0" w:oddHBand="0" w:evenHBand="0" w:firstRowFirstColumn="0" w:firstRowLastColumn="0" w:lastRowFirstColumn="0" w:lastRowLastColumn="0"/>
            <w:tcW w:w="8200" w:type="dxa"/>
            <w:gridSpan w:val="2"/>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C77E8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7436" w:type="dxa"/>
            <w:noWrap/>
            <w:vAlign w:val="bottom"/>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Encaminhamento à DG/CRH/CEAF-ESMP</w:t>
            </w:r>
          </w:p>
        </w:tc>
        <w:tc>
          <w:tcPr>
            <w:tcW w:w="764" w:type="dxa"/>
            <w:noWrap/>
            <w:vAlign w:val="bottom"/>
            <w:hideMark/>
          </w:tcPr>
          <w:p w:rsidR="00581447" w:rsidRPr="00605CBC" w:rsidRDefault="00581447" w:rsidP="008E0D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pt-BR"/>
              </w:rPr>
            </w:pPr>
            <w:r>
              <w:rPr>
                <w:rFonts w:eastAsia="Times New Roman"/>
                <w:color w:val="000000"/>
                <w:sz w:val="24"/>
                <w:szCs w:val="24"/>
                <w:lang w:eastAsia="pt-BR"/>
              </w:rPr>
              <w:t xml:space="preserve">   </w:t>
            </w:r>
            <w:r w:rsidR="00A32BA7">
              <w:rPr>
                <w:rFonts w:eastAsia="Times New Roman"/>
                <w:color w:val="000000"/>
                <w:sz w:val="24"/>
                <w:szCs w:val="24"/>
                <w:lang w:eastAsia="pt-BR"/>
              </w:rPr>
              <w:t>100</w:t>
            </w:r>
          </w:p>
        </w:tc>
      </w:tr>
      <w:tr w:rsidR="00581447" w:rsidRPr="00943512" w:rsidTr="00C77E8F">
        <w:trPr>
          <w:trHeight w:val="199"/>
        </w:trPr>
        <w:tc>
          <w:tcPr>
            <w:cnfStyle w:val="001000000000" w:firstRow="0" w:lastRow="0" w:firstColumn="1" w:lastColumn="0" w:oddVBand="0" w:evenVBand="0" w:oddHBand="0" w:evenHBand="0" w:firstRowFirstColumn="0" w:firstRowLastColumn="0" w:lastRowFirstColumn="0" w:lastRowLastColumn="0"/>
            <w:tcW w:w="8200" w:type="dxa"/>
            <w:gridSpan w:val="2"/>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C77E8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7436" w:type="dxa"/>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xml:space="preserve">Encaminhamento </w:t>
            </w:r>
            <w:r>
              <w:rPr>
                <w:rFonts w:eastAsia="Times New Roman"/>
                <w:color w:val="000000"/>
                <w:sz w:val="24"/>
                <w:szCs w:val="24"/>
                <w:lang w:eastAsia="pt-BR"/>
              </w:rPr>
              <w:t>a órgãos externos</w:t>
            </w:r>
          </w:p>
        </w:tc>
        <w:tc>
          <w:tcPr>
            <w:tcW w:w="764" w:type="dxa"/>
            <w:noWrap/>
            <w:vAlign w:val="bottom"/>
            <w:hideMark/>
          </w:tcPr>
          <w:p w:rsidR="00581447" w:rsidRPr="00605CBC" w:rsidRDefault="00581447" w:rsidP="008E0D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pt-BR"/>
              </w:rPr>
            </w:pPr>
            <w:r>
              <w:rPr>
                <w:rFonts w:eastAsia="Times New Roman"/>
                <w:color w:val="000000"/>
                <w:sz w:val="24"/>
                <w:szCs w:val="24"/>
                <w:lang w:eastAsia="pt-BR"/>
              </w:rPr>
              <w:t xml:space="preserve">   </w:t>
            </w:r>
            <w:r w:rsidR="00A32BA7">
              <w:rPr>
                <w:rFonts w:eastAsia="Times New Roman"/>
                <w:color w:val="000000"/>
                <w:sz w:val="24"/>
                <w:szCs w:val="24"/>
                <w:lang w:eastAsia="pt-BR"/>
              </w:rPr>
              <w:t>84</w:t>
            </w:r>
          </w:p>
        </w:tc>
      </w:tr>
      <w:tr w:rsidR="00581447" w:rsidRPr="00943512" w:rsidTr="00C77E8F">
        <w:trPr>
          <w:trHeight w:val="199"/>
        </w:trPr>
        <w:tc>
          <w:tcPr>
            <w:cnfStyle w:val="001000000000" w:firstRow="0" w:lastRow="0" w:firstColumn="1" w:lastColumn="0" w:oddVBand="0" w:evenVBand="0" w:oddHBand="0" w:evenHBand="0" w:firstRowFirstColumn="0" w:firstRowLastColumn="0" w:lastRowFirstColumn="0" w:lastRowLastColumn="0"/>
            <w:tcW w:w="8200" w:type="dxa"/>
            <w:gridSpan w:val="2"/>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581447" w:rsidRPr="00943512" w:rsidTr="00C77E8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7436" w:type="dxa"/>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xml:space="preserve">Orientação e/ou esclarecimentos ao </w:t>
            </w:r>
            <w:r>
              <w:rPr>
                <w:rFonts w:eastAsia="Times New Roman"/>
                <w:color w:val="000000"/>
                <w:sz w:val="24"/>
                <w:szCs w:val="24"/>
                <w:lang w:eastAsia="pt-BR"/>
              </w:rPr>
              <w:t>manifestante</w:t>
            </w:r>
          </w:p>
        </w:tc>
        <w:tc>
          <w:tcPr>
            <w:tcW w:w="764" w:type="dxa"/>
            <w:noWrap/>
            <w:vAlign w:val="bottom"/>
            <w:hideMark/>
          </w:tcPr>
          <w:p w:rsidR="00581447" w:rsidRPr="00605CBC" w:rsidRDefault="00A32BA7" w:rsidP="008E0D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pt-BR"/>
              </w:rPr>
            </w:pPr>
            <w:r>
              <w:rPr>
                <w:rFonts w:eastAsia="Times New Roman"/>
                <w:color w:val="000000"/>
                <w:sz w:val="24"/>
                <w:szCs w:val="24"/>
                <w:lang w:eastAsia="pt-BR"/>
              </w:rPr>
              <w:t>9.930</w:t>
            </w:r>
          </w:p>
        </w:tc>
      </w:tr>
      <w:tr w:rsidR="00581447" w:rsidRPr="00943512" w:rsidTr="00C77E8F">
        <w:trPr>
          <w:trHeight w:val="199"/>
        </w:trPr>
        <w:tc>
          <w:tcPr>
            <w:cnfStyle w:val="001000000000" w:firstRow="0" w:lastRow="0" w:firstColumn="1" w:lastColumn="0" w:oddVBand="0" w:evenVBand="0" w:oddHBand="0" w:evenHBand="0" w:firstRowFirstColumn="0" w:firstRowLastColumn="0" w:lastRowFirstColumn="0" w:lastRowLastColumn="0"/>
            <w:tcW w:w="8200" w:type="dxa"/>
            <w:gridSpan w:val="2"/>
            <w:noWrap/>
            <w:vAlign w:val="bottom"/>
            <w:hideMark/>
          </w:tcPr>
          <w:p w:rsidR="00581447" w:rsidRPr="00605CBC" w:rsidRDefault="00581447" w:rsidP="008E0D35">
            <w:pPr>
              <w:spacing w:after="0" w:line="240" w:lineRule="auto"/>
              <w:rPr>
                <w:rFonts w:eastAsia="Times New Roman"/>
                <w:color w:val="000000"/>
                <w:sz w:val="24"/>
                <w:szCs w:val="24"/>
                <w:lang w:eastAsia="pt-BR"/>
              </w:rPr>
            </w:pPr>
          </w:p>
        </w:tc>
      </w:tr>
      <w:tr w:rsidR="00581447" w:rsidRPr="00943512" w:rsidTr="00C77E8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7436" w:type="dxa"/>
            <w:noWrap/>
            <w:vAlign w:val="bottom"/>
            <w:hideMark/>
          </w:tcPr>
          <w:p w:rsidR="00581447" w:rsidRPr="00605CBC" w:rsidRDefault="00581447" w:rsidP="008E0D35">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Arquivados por falta de elementos para seguimento</w:t>
            </w:r>
          </w:p>
        </w:tc>
        <w:tc>
          <w:tcPr>
            <w:tcW w:w="764" w:type="dxa"/>
            <w:noWrap/>
            <w:vAlign w:val="bottom"/>
            <w:hideMark/>
          </w:tcPr>
          <w:p w:rsidR="00581447" w:rsidRPr="00605CBC" w:rsidRDefault="00A32BA7" w:rsidP="008E0D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pt-BR"/>
              </w:rPr>
            </w:pPr>
            <w:r>
              <w:rPr>
                <w:rFonts w:eastAsia="Times New Roman"/>
                <w:color w:val="000000"/>
                <w:sz w:val="24"/>
                <w:szCs w:val="24"/>
                <w:lang w:eastAsia="pt-BR"/>
              </w:rPr>
              <w:t>1.427</w:t>
            </w:r>
          </w:p>
        </w:tc>
      </w:tr>
      <w:tr w:rsidR="00581447" w:rsidRPr="00943512" w:rsidTr="00C77E8F">
        <w:trPr>
          <w:trHeight w:val="199"/>
        </w:trPr>
        <w:tc>
          <w:tcPr>
            <w:cnfStyle w:val="001000000000" w:firstRow="0" w:lastRow="0" w:firstColumn="1" w:lastColumn="0" w:oddVBand="0" w:evenVBand="0" w:oddHBand="0" w:evenHBand="0" w:firstRowFirstColumn="0" w:firstRowLastColumn="0" w:lastRowFirstColumn="0" w:lastRowLastColumn="0"/>
            <w:tcW w:w="8200" w:type="dxa"/>
            <w:gridSpan w:val="2"/>
            <w:noWrap/>
            <w:vAlign w:val="bottom"/>
            <w:hideMark/>
          </w:tcPr>
          <w:p w:rsidR="00581447" w:rsidRPr="00605CBC" w:rsidRDefault="00581447" w:rsidP="008E0D35">
            <w:pPr>
              <w:spacing w:after="0" w:line="240" w:lineRule="auto"/>
              <w:rPr>
                <w:rFonts w:eastAsia="Times New Roman"/>
                <w:color w:val="000000"/>
                <w:sz w:val="24"/>
                <w:szCs w:val="24"/>
                <w:lang w:eastAsia="pt-BR"/>
              </w:rPr>
            </w:pPr>
          </w:p>
        </w:tc>
      </w:tr>
      <w:tr w:rsidR="00581447" w:rsidRPr="00943512" w:rsidTr="00C77E8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7436" w:type="dxa"/>
            <w:noWrap/>
            <w:vAlign w:val="bottom"/>
            <w:hideMark/>
          </w:tcPr>
          <w:p w:rsidR="00581447" w:rsidRPr="00605CBC" w:rsidRDefault="00581447" w:rsidP="008E0D35">
            <w:pPr>
              <w:spacing w:after="0" w:line="240" w:lineRule="auto"/>
              <w:rPr>
                <w:rFonts w:eastAsia="Times New Roman"/>
                <w:color w:val="000000"/>
                <w:sz w:val="24"/>
                <w:szCs w:val="24"/>
                <w:lang w:eastAsia="pt-BR"/>
              </w:rPr>
            </w:pPr>
            <w:r>
              <w:rPr>
                <w:rFonts w:eastAsia="Times New Roman"/>
                <w:color w:val="000000"/>
                <w:sz w:val="24"/>
                <w:szCs w:val="24"/>
                <w:lang w:eastAsia="pt-BR"/>
              </w:rPr>
              <w:t>Denúncias anônimas encaminhadas</w:t>
            </w:r>
          </w:p>
        </w:tc>
        <w:tc>
          <w:tcPr>
            <w:tcW w:w="764" w:type="dxa"/>
            <w:noWrap/>
            <w:vAlign w:val="bottom"/>
            <w:hideMark/>
          </w:tcPr>
          <w:p w:rsidR="00581447" w:rsidRPr="00605CBC" w:rsidRDefault="00A32BA7" w:rsidP="00A32BA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eastAsia="pt-BR"/>
              </w:rPr>
            </w:pPr>
            <w:r>
              <w:rPr>
                <w:rFonts w:eastAsia="Times New Roman"/>
                <w:color w:val="000000"/>
                <w:sz w:val="24"/>
                <w:szCs w:val="24"/>
                <w:lang w:eastAsia="pt-BR"/>
              </w:rPr>
              <w:t xml:space="preserve">  3.594</w:t>
            </w:r>
          </w:p>
        </w:tc>
      </w:tr>
      <w:tr w:rsidR="00581447" w:rsidRPr="00943512" w:rsidTr="00C77E8F">
        <w:trPr>
          <w:trHeight w:val="199"/>
        </w:trPr>
        <w:tc>
          <w:tcPr>
            <w:cnfStyle w:val="001000000000" w:firstRow="0" w:lastRow="0" w:firstColumn="1" w:lastColumn="0" w:oddVBand="0" w:evenVBand="0" w:oddHBand="0" w:evenHBand="0" w:firstRowFirstColumn="0" w:firstRowLastColumn="0" w:lastRowFirstColumn="0" w:lastRowLastColumn="0"/>
            <w:tcW w:w="8200" w:type="dxa"/>
            <w:gridSpan w:val="2"/>
            <w:tcBorders>
              <w:bottom w:val="nil"/>
            </w:tcBorders>
            <w:noWrap/>
            <w:vAlign w:val="bottom"/>
            <w:hideMark/>
          </w:tcPr>
          <w:p w:rsidR="00581447" w:rsidRPr="00605CBC" w:rsidRDefault="00581447" w:rsidP="008E0D35">
            <w:pPr>
              <w:spacing w:after="0" w:line="240" w:lineRule="auto"/>
              <w:rPr>
                <w:rFonts w:eastAsia="Times New Roman"/>
                <w:color w:val="000000"/>
                <w:sz w:val="24"/>
                <w:szCs w:val="24"/>
                <w:lang w:eastAsia="pt-BR"/>
              </w:rPr>
            </w:pPr>
          </w:p>
        </w:tc>
      </w:tr>
    </w:tbl>
    <w:p w:rsidR="00581447" w:rsidRDefault="00581447" w:rsidP="00581447">
      <w:pPr>
        <w:ind w:firstLine="709"/>
        <w:jc w:val="both"/>
      </w:pPr>
    </w:p>
    <w:p w:rsidR="00581447" w:rsidRDefault="00581447" w:rsidP="00581447">
      <w:pPr>
        <w:jc w:val="both"/>
      </w:pPr>
    </w:p>
    <w:p w:rsidR="008340B6" w:rsidRDefault="008340B6" w:rsidP="00581447">
      <w:pPr>
        <w:jc w:val="both"/>
      </w:pPr>
    </w:p>
    <w:p w:rsidR="00581447" w:rsidRDefault="00581447" w:rsidP="00581447">
      <w:pPr>
        <w:ind w:firstLine="709"/>
        <w:jc w:val="both"/>
      </w:pPr>
      <w:r>
        <w:t>Com relação às manifestações enviadas à Ouvidoria, podemos representá-las em dois gráficos distintos: o primeiro a respeito do tipo de manifestação recebida e o outro referente à forma como a sociedade entra em contato com a Ouvidoria.</w:t>
      </w:r>
    </w:p>
    <w:p w:rsidR="00581447" w:rsidRDefault="00581447" w:rsidP="00581447">
      <w:pPr>
        <w:ind w:firstLine="709"/>
        <w:jc w:val="both"/>
      </w:pPr>
    </w:p>
    <w:p w:rsidR="00581447" w:rsidRDefault="00C77E8F" w:rsidP="00581447">
      <w:pPr>
        <w:jc w:val="both"/>
      </w:pPr>
      <w:r>
        <w:rPr>
          <w:noProof/>
          <w:color w:val="FF0000"/>
          <w:lang w:eastAsia="pt-BR"/>
        </w:rPr>
        <w:drawing>
          <wp:inline distT="0" distB="0" distL="0" distR="0">
            <wp:extent cx="5400040" cy="3150235"/>
            <wp:effectExtent l="0" t="0" r="10160" b="1206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81447" w:rsidRDefault="006674D1" w:rsidP="00581447">
      <w:pPr>
        <w:spacing w:after="0" w:line="240" w:lineRule="auto"/>
      </w:pPr>
      <w:r>
        <w:rPr>
          <w:noProof/>
          <w:color w:val="7030A0"/>
          <w:lang w:eastAsia="pt-BR"/>
        </w:rPr>
        <w:lastRenderedPageBreak/>
        <w:drawing>
          <wp:inline distT="0" distB="0" distL="0" distR="0">
            <wp:extent cx="5400040" cy="3150235"/>
            <wp:effectExtent l="0" t="0" r="10160" b="1206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1447" w:rsidRDefault="00581447" w:rsidP="00581447">
      <w:pPr>
        <w:jc w:val="both"/>
      </w:pPr>
    </w:p>
    <w:p w:rsidR="00581447" w:rsidRDefault="00581447" w:rsidP="00581447">
      <w:pPr>
        <w:ind w:firstLine="709"/>
        <w:jc w:val="both"/>
      </w:pPr>
      <w:r>
        <w:t xml:space="preserve">Desde a instalação da Ouvidoria em março de 2.011 até </w:t>
      </w:r>
      <w:r w:rsidR="007461C1">
        <w:t>dez</w:t>
      </w:r>
      <w:r w:rsidR="002B0608">
        <w:t>embro de 2.013</w:t>
      </w:r>
      <w:r>
        <w:t>, como já afirmado no início deste relatório, o número de contatos com a Ouvidoria só tem crescido. O gráfico seguinte demonstra a evolução, mês a mês, da quantidade de manifestações recebidas.</w:t>
      </w:r>
    </w:p>
    <w:p w:rsidR="00581447" w:rsidRDefault="006674D1" w:rsidP="00581447">
      <w:pPr>
        <w:jc w:val="both"/>
      </w:pPr>
      <w:r w:rsidRPr="007E5321">
        <w:rPr>
          <w:noProof/>
          <w:color w:val="7030A0"/>
          <w:lang w:eastAsia="pt-BR"/>
        </w:rPr>
        <w:drawing>
          <wp:inline distT="0" distB="0" distL="0" distR="0" wp14:anchorId="54587141" wp14:editId="5FFDB0AA">
            <wp:extent cx="5400040" cy="3150235"/>
            <wp:effectExtent l="0" t="0" r="10160" b="1206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81447" w:rsidRDefault="00581447" w:rsidP="00581447">
      <w:pPr>
        <w:ind w:firstLine="709"/>
        <w:jc w:val="both"/>
      </w:pPr>
    </w:p>
    <w:p w:rsidR="007E5321" w:rsidRDefault="007461C1" w:rsidP="007461C1">
      <w:pPr>
        <w:jc w:val="both"/>
        <w:rPr>
          <w:b/>
        </w:rPr>
      </w:pPr>
      <w:r w:rsidRPr="00F054CA">
        <w:rPr>
          <w:b/>
        </w:rPr>
        <w:t>VII</w:t>
      </w:r>
      <w:r w:rsidR="007E5321">
        <w:rPr>
          <w:b/>
        </w:rPr>
        <w:t>I – Observações</w:t>
      </w:r>
    </w:p>
    <w:p w:rsidR="007E5321" w:rsidRDefault="007E5321" w:rsidP="007E5321">
      <w:pPr>
        <w:ind w:firstLine="709"/>
        <w:jc w:val="both"/>
      </w:pPr>
      <w:r>
        <w:t>Da leitura diária das manifestações recebidas pela Ouvidoria durante o ano de 2.013 podemos retirar algumas observações:</w:t>
      </w:r>
    </w:p>
    <w:p w:rsidR="007E5321" w:rsidRDefault="007E5321" w:rsidP="007E5321">
      <w:pPr>
        <w:ind w:firstLine="709"/>
        <w:jc w:val="both"/>
      </w:pPr>
      <w:r>
        <w:lastRenderedPageBreak/>
        <w:t>- Os consumidores que se utilizam de meios eletrônicos para fazerem suas compras pela Internet estão muito desprotegidos</w:t>
      </w:r>
      <w:r w:rsidR="00326B30">
        <w:t xml:space="preserve"> pela legislação. Alguns sites fornecem a possibilidade para que terceiros anunciem produtos e serviços, mas não oferecem nenhuma garantia aos consumidores. É comum a existência de sites que não fornecem o endereço da empresa e que dificultam ao máximo o recebimento de reclamaç</w:t>
      </w:r>
      <w:r w:rsidR="000A6D47">
        <w:t>ões.</w:t>
      </w:r>
    </w:p>
    <w:p w:rsidR="00326B30" w:rsidRDefault="00326B30" w:rsidP="007E5321">
      <w:pPr>
        <w:ind w:firstLine="709"/>
        <w:jc w:val="both"/>
      </w:pPr>
      <w:r>
        <w:t>- O desrespeito e a falta de humanidade para com os usuários dos serviços públicos de saúde também são uma constante. Consultas médicas agendadas com bastante antecedência não são efetivadas por diversos motivos, entre eles pela falta de médicos ou de que estes saíram de férias</w:t>
      </w:r>
      <w:r w:rsidR="009737CF">
        <w:t>. Cirurgias que deveriam ser efetuadas com certa urgência são postergadas, trazendo sofrimento desnecessário aos pacientes. Tem sido observado também que alguns municípios restringem o atendimento médico exclusivamente a munícipes cadastrados, com limitação, inclusive, por bairros. Se o Governo do Estado fizesse tal tipo de restrição, o que não seria dos brasileiros que procuram nosso Estado para atendimento médico não disponível em suas cidades de origem? Tais restrições, à Ouvidoria, parecem irregulares e não condizentes com os princípios mais elementares de humanidade</w:t>
      </w:r>
      <w:r w:rsidR="000A6D47">
        <w:t>.</w:t>
      </w:r>
    </w:p>
    <w:p w:rsidR="009737CF" w:rsidRDefault="009737CF" w:rsidP="007E5321">
      <w:pPr>
        <w:ind w:firstLine="709"/>
        <w:jc w:val="both"/>
      </w:pPr>
      <w:r>
        <w:t>- Na área da educação, as reclamações quanto à falta de vagas em escolas e creches têm sido uma constante</w:t>
      </w:r>
      <w:r w:rsidR="00BA313D">
        <w:t xml:space="preserve">. </w:t>
      </w:r>
      <w:r w:rsidR="00F81DC2">
        <w:t>O mais preocupante, no entanto, é o recebimento de mensagens de professores das redes públicas municipais e estadual, mensagens essas com gravíssimos erros de português. O que se esperar dos alunos que estão sendo formados por esses professores?</w:t>
      </w:r>
    </w:p>
    <w:p w:rsidR="00F81DC2" w:rsidRDefault="00F81DC2" w:rsidP="007E5321">
      <w:pPr>
        <w:ind w:firstLine="709"/>
        <w:jc w:val="both"/>
      </w:pPr>
      <w:r>
        <w:t>- Quanto à segurança pública, são recorrentes as mensagens com denúncias da prática de crimes, já transmitidas aos órgãos policiais, mas que não surtiram qualquer efeito, daí as pessoas se dirigirem ao Ministério Público com pedido de providências. Da mesma forma, as reclamações por falta de policiamento também têm sido constantes.</w:t>
      </w:r>
    </w:p>
    <w:p w:rsidR="00F81DC2" w:rsidRDefault="00F81DC2" w:rsidP="007E5321">
      <w:pPr>
        <w:ind w:firstLine="709"/>
        <w:jc w:val="both"/>
      </w:pPr>
      <w:r>
        <w:t>- Denúncias por atentados ao patrimônio público são igualmente recorrentes</w:t>
      </w:r>
      <w:r w:rsidR="000A6D47">
        <w:t>. A manipulação de concorrências públicas, o nepotismo, bem como as reclamações a respeito de concursos públicos é comum.</w:t>
      </w:r>
    </w:p>
    <w:p w:rsidR="000A6D47" w:rsidRDefault="000A6D47" w:rsidP="007E5321">
      <w:pPr>
        <w:ind w:firstLine="709"/>
        <w:jc w:val="both"/>
      </w:pPr>
      <w:r>
        <w:t xml:space="preserve">- O transporte público é </w:t>
      </w:r>
      <w:r w:rsidR="001968FF">
        <w:t>outro</w:t>
      </w:r>
      <w:r>
        <w:t xml:space="preserve"> tema </w:t>
      </w:r>
      <w:r w:rsidR="001968FF">
        <w:t>bastante</w:t>
      </w:r>
      <w:r>
        <w:t xml:space="preserve"> abordado nas reclamações dirigidas à Ouvidoria, em especial na Grande São Paulo</w:t>
      </w:r>
      <w:r w:rsidR="00A52A72">
        <w:t>.</w:t>
      </w:r>
    </w:p>
    <w:p w:rsidR="00A52A72" w:rsidRDefault="00A52A72" w:rsidP="007E5321">
      <w:pPr>
        <w:ind w:firstLine="709"/>
        <w:jc w:val="both"/>
      </w:pPr>
      <w:r>
        <w:t xml:space="preserve">- Da mesma forma, manifestações relativas à habitação e urbanismo e ao meio ambiente são </w:t>
      </w:r>
      <w:r w:rsidR="001968FF">
        <w:t>muito</w:t>
      </w:r>
      <w:r>
        <w:t xml:space="preserve"> volumosas. Nesse grupo encontramos desde as inúmeras reclamações a respeito dos chamados bailes funk, como as relativas à destruição de matas, assoreamento de nascentes, </w:t>
      </w:r>
      <w:r w:rsidR="001968FF">
        <w:t xml:space="preserve">poluição ambiental, </w:t>
      </w:r>
      <w:r>
        <w:t>etc.</w:t>
      </w:r>
    </w:p>
    <w:p w:rsidR="002B0608" w:rsidRPr="007E5321" w:rsidRDefault="002B0608" w:rsidP="007E5321">
      <w:pPr>
        <w:ind w:firstLine="709"/>
        <w:jc w:val="both"/>
      </w:pPr>
      <w:bookmarkStart w:id="0" w:name="_GoBack"/>
      <w:bookmarkEnd w:id="0"/>
    </w:p>
    <w:p w:rsidR="007461C1" w:rsidRPr="00F054CA" w:rsidRDefault="007461C1" w:rsidP="007461C1">
      <w:pPr>
        <w:jc w:val="both"/>
        <w:rPr>
          <w:b/>
        </w:rPr>
      </w:pPr>
      <w:r w:rsidRPr="00F054CA">
        <w:rPr>
          <w:b/>
        </w:rPr>
        <w:t>I</w:t>
      </w:r>
      <w:r w:rsidR="007E5321">
        <w:rPr>
          <w:b/>
        </w:rPr>
        <w:t>X</w:t>
      </w:r>
      <w:r w:rsidRPr="00F054CA">
        <w:rPr>
          <w:b/>
        </w:rPr>
        <w:t xml:space="preserve"> </w:t>
      </w:r>
      <w:r w:rsidR="007E5321">
        <w:rPr>
          <w:b/>
        </w:rPr>
        <w:t>–</w:t>
      </w:r>
      <w:r w:rsidRPr="00F054CA">
        <w:rPr>
          <w:b/>
        </w:rPr>
        <w:t xml:space="preserve"> Conclusões</w:t>
      </w:r>
      <w:r w:rsidR="007E5321">
        <w:rPr>
          <w:b/>
        </w:rPr>
        <w:t xml:space="preserve"> </w:t>
      </w:r>
    </w:p>
    <w:p w:rsidR="00581447" w:rsidRDefault="001968FF" w:rsidP="00581447">
      <w:pPr>
        <w:ind w:firstLine="709"/>
        <w:jc w:val="both"/>
      </w:pPr>
      <w:r>
        <w:t>Como afirmado anteriormente, a</w:t>
      </w:r>
      <w:r w:rsidR="00581447">
        <w:t xml:space="preserve"> Ouvidoria consolidou-se como importante intermediadora entre a sociedade e os diversos setores do Ministério Público</w:t>
      </w:r>
      <w:r w:rsidR="007461C1">
        <w:t xml:space="preserve"> e</w:t>
      </w:r>
      <w:r w:rsidR="007461C1" w:rsidRPr="007461C1">
        <w:t xml:space="preserve"> </w:t>
      </w:r>
      <w:r w:rsidR="007461C1">
        <w:t xml:space="preserve">transformou-se </w:t>
      </w:r>
      <w:r w:rsidR="00C00F65">
        <w:t xml:space="preserve">para o cidadão </w:t>
      </w:r>
      <w:r w:rsidR="007461C1">
        <w:t>na principal porta de acesso do Ministério Público</w:t>
      </w:r>
      <w:r w:rsidR="00C00F65">
        <w:t xml:space="preserve"> do Estado de São Paulo</w:t>
      </w:r>
      <w:r w:rsidR="00581447">
        <w:t xml:space="preserve">. </w:t>
      </w:r>
    </w:p>
    <w:p w:rsidR="007461C1" w:rsidRDefault="00581447" w:rsidP="007461C1">
      <w:pPr>
        <w:ind w:firstLine="709"/>
        <w:jc w:val="both"/>
      </w:pPr>
      <w:r>
        <w:lastRenderedPageBreak/>
        <w:t xml:space="preserve">Essa importância está sendo reconhecida pelos cidadãos, que recorrem cada vez mais à Ouvidoria para pleitear a intervenção do </w:t>
      </w:r>
      <w:r w:rsidRPr="0005423C">
        <w:rPr>
          <w:i/>
        </w:rPr>
        <w:t>parquet</w:t>
      </w:r>
      <w:r>
        <w:t xml:space="preserve"> na esperança de resolver os mais diversos problemas que os afligem.</w:t>
      </w:r>
      <w:r w:rsidR="001968FF">
        <w:t xml:space="preserve"> Além disso, tem sido mais habitual o recebimento de mensagens com agradecimentos ou elogios genéricos à atuação do Ministério Público.</w:t>
      </w:r>
    </w:p>
    <w:p w:rsidR="001968FF" w:rsidRDefault="00581447" w:rsidP="00581447">
      <w:pPr>
        <w:ind w:firstLine="709"/>
        <w:jc w:val="both"/>
      </w:pPr>
      <w:r>
        <w:t>Como determina a lei que criou a Ouvidoria no âmbito do Ministério Público, para o futuro pretende-se divulgar mais à sociedade que ela pode e deve procurar a In</w:t>
      </w:r>
      <w:r w:rsidR="001968FF">
        <w:t>stituição através da Ouvidoria.</w:t>
      </w:r>
    </w:p>
    <w:p w:rsidR="00581447" w:rsidRDefault="00581447" w:rsidP="00581447">
      <w:pPr>
        <w:ind w:firstLine="709"/>
        <w:jc w:val="both"/>
      </w:pPr>
      <w:r>
        <w:t>De</w:t>
      </w:r>
      <w:r w:rsidR="001968FF">
        <w:t>ssa forma</w:t>
      </w:r>
      <w:r>
        <w:t>, a Ouvidoria prossegu</w:t>
      </w:r>
      <w:r w:rsidR="001968FF">
        <w:t>iu no ano de 2.013</w:t>
      </w:r>
      <w:r>
        <w:t xml:space="preserve"> em seu objetivo de f</w:t>
      </w:r>
      <w:r w:rsidRPr="006120AC">
        <w:t>ortalecer a cidadania e elevar, continuamente, os padrões de transparência, presteza e segurança das atividades desenvolvidas pelo Ministério Público</w:t>
      </w:r>
      <w:r>
        <w:t>.</w:t>
      </w:r>
    </w:p>
    <w:p w:rsidR="00581447" w:rsidRDefault="00581447" w:rsidP="00581447">
      <w:pPr>
        <w:ind w:firstLine="709"/>
        <w:jc w:val="both"/>
      </w:pPr>
    </w:p>
    <w:p w:rsidR="00581447" w:rsidRPr="00FF4D02" w:rsidRDefault="00581447" w:rsidP="00581447">
      <w:pPr>
        <w:spacing w:after="0"/>
        <w:jc w:val="center"/>
        <w:rPr>
          <w:b/>
        </w:rPr>
      </w:pPr>
      <w:r w:rsidRPr="00FF4D02">
        <w:rPr>
          <w:b/>
        </w:rPr>
        <w:t>Fernando José Marques</w:t>
      </w:r>
    </w:p>
    <w:p w:rsidR="00581447" w:rsidRDefault="00581447" w:rsidP="00581447">
      <w:pPr>
        <w:spacing w:after="0"/>
        <w:jc w:val="center"/>
      </w:pPr>
      <w:r>
        <w:t>Procurador de Justiça</w:t>
      </w:r>
    </w:p>
    <w:p w:rsidR="00581447" w:rsidRDefault="00581447" w:rsidP="00581447">
      <w:pPr>
        <w:spacing w:after="0"/>
        <w:jc w:val="center"/>
      </w:pPr>
      <w:r>
        <w:t>Ouvidor</w:t>
      </w:r>
    </w:p>
    <w:p w:rsidR="00581447" w:rsidRDefault="00581447" w:rsidP="00581447">
      <w:pPr>
        <w:ind w:firstLine="709"/>
        <w:jc w:val="both"/>
      </w:pPr>
    </w:p>
    <w:sectPr w:rsidR="00581447" w:rsidSect="0005423C">
      <w:footerReference w:type="default" r:id="rId11"/>
      <w:pgSz w:w="11906" w:h="16838"/>
      <w:pgMar w:top="1418" w:right="1134"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FA1" w:rsidRDefault="00546FA1" w:rsidP="0080377D">
      <w:pPr>
        <w:spacing w:after="0" w:line="240" w:lineRule="auto"/>
      </w:pPr>
      <w:r>
        <w:separator/>
      </w:r>
    </w:p>
  </w:endnote>
  <w:endnote w:type="continuationSeparator" w:id="0">
    <w:p w:rsidR="00546FA1" w:rsidRDefault="00546FA1" w:rsidP="00803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0F" w:rsidRDefault="005112D2">
    <w:pPr>
      <w:pStyle w:val="Rodap"/>
      <w:jc w:val="right"/>
    </w:pPr>
    <w:r>
      <w:fldChar w:fldCharType="begin"/>
    </w:r>
    <w:r>
      <w:instrText xml:space="preserve"> PAGE   \* MERGEFORMAT </w:instrText>
    </w:r>
    <w:r>
      <w:fldChar w:fldCharType="separate"/>
    </w:r>
    <w:r w:rsidR="002B0608">
      <w:rPr>
        <w:noProof/>
      </w:rPr>
      <w:t>9</w:t>
    </w:r>
    <w:r>
      <w:rPr>
        <w:noProof/>
      </w:rPr>
      <w:fldChar w:fldCharType="end"/>
    </w:r>
  </w:p>
  <w:p w:rsidR="008A690F" w:rsidRDefault="008A690F" w:rsidP="0080377D">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FA1" w:rsidRDefault="00546FA1" w:rsidP="0080377D">
      <w:pPr>
        <w:spacing w:after="0" w:line="240" w:lineRule="auto"/>
      </w:pPr>
      <w:r>
        <w:separator/>
      </w:r>
    </w:p>
  </w:footnote>
  <w:footnote w:type="continuationSeparator" w:id="0">
    <w:p w:rsidR="00546FA1" w:rsidRDefault="00546FA1" w:rsidP="008037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DD1"/>
    <w:rsid w:val="0001270B"/>
    <w:rsid w:val="0001698F"/>
    <w:rsid w:val="0002107A"/>
    <w:rsid w:val="00022FB6"/>
    <w:rsid w:val="00030594"/>
    <w:rsid w:val="0005423C"/>
    <w:rsid w:val="000605FD"/>
    <w:rsid w:val="000671B9"/>
    <w:rsid w:val="00076904"/>
    <w:rsid w:val="000830B8"/>
    <w:rsid w:val="000A2BB2"/>
    <w:rsid w:val="000A6D47"/>
    <w:rsid w:val="000B7B58"/>
    <w:rsid w:val="000C28E4"/>
    <w:rsid w:val="000E5F22"/>
    <w:rsid w:val="00131766"/>
    <w:rsid w:val="00136B17"/>
    <w:rsid w:val="0014161E"/>
    <w:rsid w:val="00160DFA"/>
    <w:rsid w:val="001968FF"/>
    <w:rsid w:val="001A6892"/>
    <w:rsid w:val="001C5A10"/>
    <w:rsid w:val="001D02D6"/>
    <w:rsid w:val="001F1C0D"/>
    <w:rsid w:val="00205ABF"/>
    <w:rsid w:val="002071F7"/>
    <w:rsid w:val="002578DB"/>
    <w:rsid w:val="00273ABB"/>
    <w:rsid w:val="00273EF1"/>
    <w:rsid w:val="002749D7"/>
    <w:rsid w:val="00280B0E"/>
    <w:rsid w:val="002877E2"/>
    <w:rsid w:val="002950C3"/>
    <w:rsid w:val="002A2315"/>
    <w:rsid w:val="002B0608"/>
    <w:rsid w:val="002B58E8"/>
    <w:rsid w:val="002C4B10"/>
    <w:rsid w:val="002D0702"/>
    <w:rsid w:val="002E647C"/>
    <w:rsid w:val="00301971"/>
    <w:rsid w:val="0031206A"/>
    <w:rsid w:val="00313760"/>
    <w:rsid w:val="0031468D"/>
    <w:rsid w:val="00326B30"/>
    <w:rsid w:val="003410E5"/>
    <w:rsid w:val="00341395"/>
    <w:rsid w:val="00342774"/>
    <w:rsid w:val="00343CA4"/>
    <w:rsid w:val="0035713D"/>
    <w:rsid w:val="0036073B"/>
    <w:rsid w:val="003A2DC6"/>
    <w:rsid w:val="003C257A"/>
    <w:rsid w:val="003C7BBE"/>
    <w:rsid w:val="0040443F"/>
    <w:rsid w:val="00420F59"/>
    <w:rsid w:val="00421CB0"/>
    <w:rsid w:val="00434155"/>
    <w:rsid w:val="00435CC5"/>
    <w:rsid w:val="00452BE5"/>
    <w:rsid w:val="00464E85"/>
    <w:rsid w:val="00465AF3"/>
    <w:rsid w:val="004902D1"/>
    <w:rsid w:val="004D5F40"/>
    <w:rsid w:val="004E5451"/>
    <w:rsid w:val="004F0DA4"/>
    <w:rsid w:val="00503B1D"/>
    <w:rsid w:val="005112D2"/>
    <w:rsid w:val="005215D4"/>
    <w:rsid w:val="005306BB"/>
    <w:rsid w:val="00540E20"/>
    <w:rsid w:val="0054379A"/>
    <w:rsid w:val="00546FA1"/>
    <w:rsid w:val="005607D5"/>
    <w:rsid w:val="00581447"/>
    <w:rsid w:val="00586D61"/>
    <w:rsid w:val="00587FE0"/>
    <w:rsid w:val="00593298"/>
    <w:rsid w:val="005B17BB"/>
    <w:rsid w:val="005C6141"/>
    <w:rsid w:val="005D4C6A"/>
    <w:rsid w:val="005D5B6A"/>
    <w:rsid w:val="005E48CD"/>
    <w:rsid w:val="005E4E1E"/>
    <w:rsid w:val="005F1582"/>
    <w:rsid w:val="005F6F1B"/>
    <w:rsid w:val="00602EEC"/>
    <w:rsid w:val="00605CBC"/>
    <w:rsid w:val="006120AC"/>
    <w:rsid w:val="006318F9"/>
    <w:rsid w:val="0063706E"/>
    <w:rsid w:val="006646B3"/>
    <w:rsid w:val="006674D1"/>
    <w:rsid w:val="0067531F"/>
    <w:rsid w:val="006865FB"/>
    <w:rsid w:val="006A4604"/>
    <w:rsid w:val="006C0F6F"/>
    <w:rsid w:val="006C35C0"/>
    <w:rsid w:val="006D0AF2"/>
    <w:rsid w:val="006D74C9"/>
    <w:rsid w:val="006E46A9"/>
    <w:rsid w:val="007154CB"/>
    <w:rsid w:val="00715B25"/>
    <w:rsid w:val="00715B68"/>
    <w:rsid w:val="00725B1A"/>
    <w:rsid w:val="007331D4"/>
    <w:rsid w:val="00736E34"/>
    <w:rsid w:val="00737A3E"/>
    <w:rsid w:val="00741B81"/>
    <w:rsid w:val="007460BE"/>
    <w:rsid w:val="007461C1"/>
    <w:rsid w:val="00766328"/>
    <w:rsid w:val="007A3DDB"/>
    <w:rsid w:val="007B178E"/>
    <w:rsid w:val="007B2891"/>
    <w:rsid w:val="007B433F"/>
    <w:rsid w:val="007C7EEB"/>
    <w:rsid w:val="007D3755"/>
    <w:rsid w:val="007D4B35"/>
    <w:rsid w:val="007D5F91"/>
    <w:rsid w:val="007D6BD0"/>
    <w:rsid w:val="007E5321"/>
    <w:rsid w:val="007F5C19"/>
    <w:rsid w:val="0080377D"/>
    <w:rsid w:val="00820723"/>
    <w:rsid w:val="00832810"/>
    <w:rsid w:val="008340B6"/>
    <w:rsid w:val="00840FFB"/>
    <w:rsid w:val="00846FB0"/>
    <w:rsid w:val="008600D5"/>
    <w:rsid w:val="00872E87"/>
    <w:rsid w:val="008737A0"/>
    <w:rsid w:val="00877F1B"/>
    <w:rsid w:val="008A690F"/>
    <w:rsid w:val="008B5020"/>
    <w:rsid w:val="008C2928"/>
    <w:rsid w:val="008C6258"/>
    <w:rsid w:val="008D3FEA"/>
    <w:rsid w:val="008D5443"/>
    <w:rsid w:val="008E30BF"/>
    <w:rsid w:val="0090491F"/>
    <w:rsid w:val="00922FCF"/>
    <w:rsid w:val="00931D9B"/>
    <w:rsid w:val="00943512"/>
    <w:rsid w:val="00962D64"/>
    <w:rsid w:val="00967574"/>
    <w:rsid w:val="0097289D"/>
    <w:rsid w:val="009737CF"/>
    <w:rsid w:val="00976069"/>
    <w:rsid w:val="00985907"/>
    <w:rsid w:val="009A0D1A"/>
    <w:rsid w:val="009B4C39"/>
    <w:rsid w:val="009B7DF5"/>
    <w:rsid w:val="009C5DD1"/>
    <w:rsid w:val="009F09FD"/>
    <w:rsid w:val="00A21390"/>
    <w:rsid w:val="00A32BA7"/>
    <w:rsid w:val="00A35589"/>
    <w:rsid w:val="00A366BA"/>
    <w:rsid w:val="00A52A72"/>
    <w:rsid w:val="00A57E34"/>
    <w:rsid w:val="00A66324"/>
    <w:rsid w:val="00AD08F6"/>
    <w:rsid w:val="00AD4639"/>
    <w:rsid w:val="00AD6915"/>
    <w:rsid w:val="00B0220B"/>
    <w:rsid w:val="00B12B38"/>
    <w:rsid w:val="00B161A3"/>
    <w:rsid w:val="00B16AF9"/>
    <w:rsid w:val="00B252DE"/>
    <w:rsid w:val="00B36C67"/>
    <w:rsid w:val="00B5443C"/>
    <w:rsid w:val="00B65501"/>
    <w:rsid w:val="00B84DFB"/>
    <w:rsid w:val="00B9134B"/>
    <w:rsid w:val="00BA313D"/>
    <w:rsid w:val="00BB18C7"/>
    <w:rsid w:val="00BC0C65"/>
    <w:rsid w:val="00BD3AA1"/>
    <w:rsid w:val="00BD52D5"/>
    <w:rsid w:val="00BE024F"/>
    <w:rsid w:val="00BF60F2"/>
    <w:rsid w:val="00C00497"/>
    <w:rsid w:val="00C00F65"/>
    <w:rsid w:val="00C10AF5"/>
    <w:rsid w:val="00C14463"/>
    <w:rsid w:val="00C307FC"/>
    <w:rsid w:val="00C41597"/>
    <w:rsid w:val="00C42D7D"/>
    <w:rsid w:val="00C60759"/>
    <w:rsid w:val="00C6225F"/>
    <w:rsid w:val="00C62443"/>
    <w:rsid w:val="00C77E8F"/>
    <w:rsid w:val="00C928EA"/>
    <w:rsid w:val="00C93392"/>
    <w:rsid w:val="00CA589B"/>
    <w:rsid w:val="00CB70CD"/>
    <w:rsid w:val="00D017AA"/>
    <w:rsid w:val="00D06AAD"/>
    <w:rsid w:val="00D2106A"/>
    <w:rsid w:val="00D279D2"/>
    <w:rsid w:val="00D43645"/>
    <w:rsid w:val="00D44E20"/>
    <w:rsid w:val="00D565B1"/>
    <w:rsid w:val="00D56AAD"/>
    <w:rsid w:val="00D57AAF"/>
    <w:rsid w:val="00D70A5D"/>
    <w:rsid w:val="00D70DB9"/>
    <w:rsid w:val="00D778E3"/>
    <w:rsid w:val="00D92DCD"/>
    <w:rsid w:val="00DA25F9"/>
    <w:rsid w:val="00DC03AE"/>
    <w:rsid w:val="00DD4B05"/>
    <w:rsid w:val="00DD5C30"/>
    <w:rsid w:val="00DF1F38"/>
    <w:rsid w:val="00DF73EC"/>
    <w:rsid w:val="00E05FED"/>
    <w:rsid w:val="00E161D4"/>
    <w:rsid w:val="00E247DC"/>
    <w:rsid w:val="00E35A47"/>
    <w:rsid w:val="00E35A75"/>
    <w:rsid w:val="00E401F5"/>
    <w:rsid w:val="00E55079"/>
    <w:rsid w:val="00E6011C"/>
    <w:rsid w:val="00ED217F"/>
    <w:rsid w:val="00ED535F"/>
    <w:rsid w:val="00ED638C"/>
    <w:rsid w:val="00EF0761"/>
    <w:rsid w:val="00EF72CD"/>
    <w:rsid w:val="00F06532"/>
    <w:rsid w:val="00F10FA7"/>
    <w:rsid w:val="00F12A71"/>
    <w:rsid w:val="00F13668"/>
    <w:rsid w:val="00F277C4"/>
    <w:rsid w:val="00F36829"/>
    <w:rsid w:val="00F63482"/>
    <w:rsid w:val="00F73BBC"/>
    <w:rsid w:val="00F81DC2"/>
    <w:rsid w:val="00F83B2A"/>
    <w:rsid w:val="00FC4FDE"/>
    <w:rsid w:val="00FD2604"/>
    <w:rsid w:val="00FE08C9"/>
    <w:rsid w:val="00FE2830"/>
    <w:rsid w:val="00FE29F0"/>
    <w:rsid w:val="00FF3B7D"/>
    <w:rsid w:val="00FF4D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A75"/>
    <w:pPr>
      <w:spacing w:after="200" w:line="276" w:lineRule="auto"/>
    </w:pPr>
    <w:rPr>
      <w:sz w:val="22"/>
      <w:szCs w:val="22"/>
      <w:lang w:eastAsia="en-US"/>
    </w:rPr>
  </w:style>
  <w:style w:type="paragraph" w:styleId="Ttulo1">
    <w:name w:val="heading 1"/>
    <w:basedOn w:val="Normal"/>
    <w:link w:val="Ttulo1Char"/>
    <w:uiPriority w:val="9"/>
    <w:qFormat/>
    <w:rsid w:val="0097289D"/>
    <w:pPr>
      <w:spacing w:before="100" w:beforeAutospacing="1" w:after="100" w:afterAutospacing="1" w:line="240" w:lineRule="auto"/>
      <w:outlineLvl w:val="0"/>
    </w:pPr>
    <w:rPr>
      <w:rFonts w:ascii="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7289D"/>
    <w:rPr>
      <w:rFonts w:ascii="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503B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3B1D"/>
    <w:rPr>
      <w:rFonts w:ascii="Tahoma" w:hAnsi="Tahoma" w:cs="Tahoma"/>
      <w:sz w:val="16"/>
      <w:szCs w:val="16"/>
    </w:rPr>
  </w:style>
  <w:style w:type="paragraph" w:styleId="Cabealho">
    <w:name w:val="header"/>
    <w:basedOn w:val="Normal"/>
    <w:link w:val="CabealhoChar"/>
    <w:uiPriority w:val="99"/>
    <w:unhideWhenUsed/>
    <w:rsid w:val="008037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377D"/>
  </w:style>
  <w:style w:type="paragraph" w:styleId="Rodap">
    <w:name w:val="footer"/>
    <w:basedOn w:val="Normal"/>
    <w:link w:val="RodapChar"/>
    <w:uiPriority w:val="99"/>
    <w:unhideWhenUsed/>
    <w:rsid w:val="0080377D"/>
    <w:pPr>
      <w:tabs>
        <w:tab w:val="center" w:pos="4252"/>
        <w:tab w:val="right" w:pos="8504"/>
      </w:tabs>
      <w:spacing w:after="0" w:line="240" w:lineRule="auto"/>
    </w:pPr>
  </w:style>
  <w:style w:type="character" w:customStyle="1" w:styleId="RodapChar">
    <w:name w:val="Rodapé Char"/>
    <w:basedOn w:val="Fontepargpadro"/>
    <w:link w:val="Rodap"/>
    <w:uiPriority w:val="99"/>
    <w:rsid w:val="0080377D"/>
  </w:style>
  <w:style w:type="table" w:styleId="Tabelacomgrade">
    <w:name w:val="Table Grid"/>
    <w:basedOn w:val="Tabelanormal"/>
    <w:uiPriority w:val="59"/>
    <w:rsid w:val="002B58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ombreamentoClaro-nfase1">
    <w:name w:val="Light Shading Accent 1"/>
    <w:basedOn w:val="Tabelanormal"/>
    <w:uiPriority w:val="60"/>
    <w:rsid w:val="002B58E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egenda">
    <w:name w:val="caption"/>
    <w:basedOn w:val="Normal"/>
    <w:next w:val="Normal"/>
    <w:uiPriority w:val="35"/>
    <w:unhideWhenUsed/>
    <w:qFormat/>
    <w:rsid w:val="00D2106A"/>
    <w:pPr>
      <w:spacing w:line="240" w:lineRule="auto"/>
    </w:pPr>
    <w:rPr>
      <w:b/>
      <w:bCs/>
      <w:color w:val="4F81BD" w:themeColor="accent1"/>
      <w:sz w:val="18"/>
      <w:szCs w:val="18"/>
    </w:rPr>
  </w:style>
  <w:style w:type="character" w:customStyle="1" w:styleId="inplacedisplayid2920140siteid01">
    <w:name w:val="inplacedisplayid2920140siteid01"/>
    <w:basedOn w:val="Fontepargpadro"/>
    <w:rsid w:val="00872E87"/>
    <w:rPr>
      <w:rFonts w:ascii="Arial" w:hAnsi="Arial" w:cs="Arial" w:hint="default"/>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A75"/>
    <w:pPr>
      <w:spacing w:after="200" w:line="276" w:lineRule="auto"/>
    </w:pPr>
    <w:rPr>
      <w:sz w:val="22"/>
      <w:szCs w:val="22"/>
      <w:lang w:eastAsia="en-US"/>
    </w:rPr>
  </w:style>
  <w:style w:type="paragraph" w:styleId="Ttulo1">
    <w:name w:val="heading 1"/>
    <w:basedOn w:val="Normal"/>
    <w:link w:val="Ttulo1Char"/>
    <w:uiPriority w:val="9"/>
    <w:qFormat/>
    <w:rsid w:val="0097289D"/>
    <w:pPr>
      <w:spacing w:before="100" w:beforeAutospacing="1" w:after="100" w:afterAutospacing="1" w:line="240" w:lineRule="auto"/>
      <w:outlineLvl w:val="0"/>
    </w:pPr>
    <w:rPr>
      <w:rFonts w:ascii="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7289D"/>
    <w:rPr>
      <w:rFonts w:ascii="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503B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3B1D"/>
    <w:rPr>
      <w:rFonts w:ascii="Tahoma" w:hAnsi="Tahoma" w:cs="Tahoma"/>
      <w:sz w:val="16"/>
      <w:szCs w:val="16"/>
    </w:rPr>
  </w:style>
  <w:style w:type="paragraph" w:styleId="Cabealho">
    <w:name w:val="header"/>
    <w:basedOn w:val="Normal"/>
    <w:link w:val="CabealhoChar"/>
    <w:uiPriority w:val="99"/>
    <w:unhideWhenUsed/>
    <w:rsid w:val="008037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377D"/>
  </w:style>
  <w:style w:type="paragraph" w:styleId="Rodap">
    <w:name w:val="footer"/>
    <w:basedOn w:val="Normal"/>
    <w:link w:val="RodapChar"/>
    <w:uiPriority w:val="99"/>
    <w:unhideWhenUsed/>
    <w:rsid w:val="0080377D"/>
    <w:pPr>
      <w:tabs>
        <w:tab w:val="center" w:pos="4252"/>
        <w:tab w:val="right" w:pos="8504"/>
      </w:tabs>
      <w:spacing w:after="0" w:line="240" w:lineRule="auto"/>
    </w:pPr>
  </w:style>
  <w:style w:type="character" w:customStyle="1" w:styleId="RodapChar">
    <w:name w:val="Rodapé Char"/>
    <w:basedOn w:val="Fontepargpadro"/>
    <w:link w:val="Rodap"/>
    <w:uiPriority w:val="99"/>
    <w:rsid w:val="0080377D"/>
  </w:style>
  <w:style w:type="table" w:styleId="Tabelacomgrade">
    <w:name w:val="Table Grid"/>
    <w:basedOn w:val="Tabelanormal"/>
    <w:uiPriority w:val="59"/>
    <w:rsid w:val="002B58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ombreamentoClaro-nfase1">
    <w:name w:val="Light Shading Accent 1"/>
    <w:basedOn w:val="Tabelanormal"/>
    <w:uiPriority w:val="60"/>
    <w:rsid w:val="002B58E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egenda">
    <w:name w:val="caption"/>
    <w:basedOn w:val="Normal"/>
    <w:next w:val="Normal"/>
    <w:uiPriority w:val="35"/>
    <w:unhideWhenUsed/>
    <w:qFormat/>
    <w:rsid w:val="00D2106A"/>
    <w:pPr>
      <w:spacing w:line="240" w:lineRule="auto"/>
    </w:pPr>
    <w:rPr>
      <w:b/>
      <w:bCs/>
      <w:color w:val="4F81BD" w:themeColor="accent1"/>
      <w:sz w:val="18"/>
      <w:szCs w:val="18"/>
    </w:rPr>
  </w:style>
  <w:style w:type="character" w:customStyle="1" w:styleId="inplacedisplayid2920140siteid01">
    <w:name w:val="inplacedisplayid2920140siteid01"/>
    <w:basedOn w:val="Fontepargpadro"/>
    <w:rsid w:val="00872E87"/>
    <w:rPr>
      <w:rFonts w:ascii="Arial" w:hAnsi="Arial" w:cs="Arial"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74543">
      <w:bodyDiv w:val="1"/>
      <w:marLeft w:val="0"/>
      <w:marRight w:val="0"/>
      <w:marTop w:val="0"/>
      <w:marBottom w:val="0"/>
      <w:divBdr>
        <w:top w:val="none" w:sz="0" w:space="0" w:color="auto"/>
        <w:left w:val="none" w:sz="0" w:space="0" w:color="auto"/>
        <w:bottom w:val="none" w:sz="0" w:space="0" w:color="auto"/>
        <w:right w:val="none" w:sz="0" w:space="0" w:color="auto"/>
      </w:divBdr>
    </w:div>
    <w:div w:id="724525815">
      <w:bodyDiv w:val="1"/>
      <w:marLeft w:val="0"/>
      <w:marRight w:val="0"/>
      <w:marTop w:val="0"/>
      <w:marBottom w:val="0"/>
      <w:divBdr>
        <w:top w:val="none" w:sz="0" w:space="0" w:color="auto"/>
        <w:left w:val="none" w:sz="0" w:space="0" w:color="auto"/>
        <w:bottom w:val="none" w:sz="0" w:space="0" w:color="auto"/>
        <w:right w:val="none" w:sz="0" w:space="0" w:color="auto"/>
      </w:divBdr>
    </w:div>
    <w:div w:id="206182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Plan1!$B$1</c:f>
              <c:strCache>
                <c:ptCount val="1"/>
                <c:pt idx="0">
                  <c:v>Manifestações</c:v>
                </c:pt>
              </c:strCache>
            </c:strRef>
          </c:tx>
          <c:explosion val="25"/>
          <c:dPt>
            <c:idx val="1"/>
            <c:bubble3D val="0"/>
            <c:spPr>
              <a:solidFill>
                <a:srgbClr val="FFFF00"/>
              </a:solidFill>
            </c:spPr>
          </c:dPt>
          <c:dPt>
            <c:idx val="2"/>
            <c:bubble3D val="0"/>
            <c:spPr>
              <a:solidFill>
                <a:srgbClr val="00B0F0"/>
              </a:solidFill>
            </c:spPr>
          </c:dPt>
          <c:dPt>
            <c:idx val="4"/>
            <c:bubble3D val="0"/>
            <c:spPr>
              <a:solidFill>
                <a:srgbClr val="FF0000"/>
              </a:solidFill>
            </c:spPr>
          </c:dPt>
          <c:dPt>
            <c:idx val="6"/>
            <c:bubble3D val="0"/>
            <c:spPr>
              <a:solidFill>
                <a:srgbClr val="92D050"/>
              </a:solidFill>
            </c:spPr>
          </c:dPt>
          <c:dLbls>
            <c:showLegendKey val="0"/>
            <c:showVal val="1"/>
            <c:showCatName val="0"/>
            <c:showSerName val="0"/>
            <c:showPercent val="0"/>
            <c:showBubbleSize val="0"/>
            <c:showLeaderLines val="1"/>
          </c:dLbls>
          <c:cat>
            <c:strRef>
              <c:f>Plan1!$A$2:$A$8</c:f>
              <c:strCache>
                <c:ptCount val="7"/>
                <c:pt idx="0">
                  <c:v>Apreciações e comentários</c:v>
                </c:pt>
                <c:pt idx="1">
                  <c:v>Críticas e elogios</c:v>
                </c:pt>
                <c:pt idx="2">
                  <c:v>Denúncias</c:v>
                </c:pt>
                <c:pt idx="3">
                  <c:v>Pedido de Informações</c:v>
                </c:pt>
                <c:pt idx="4">
                  <c:v>Reclamações</c:v>
                </c:pt>
                <c:pt idx="5">
                  <c:v>Sugestões </c:v>
                </c:pt>
                <c:pt idx="6">
                  <c:v>Diversos</c:v>
                </c:pt>
              </c:strCache>
            </c:strRef>
          </c:cat>
          <c:val>
            <c:numRef>
              <c:f>Plan1!$B$2:$B$8</c:f>
              <c:numCache>
                <c:formatCode>General</c:formatCode>
                <c:ptCount val="7"/>
                <c:pt idx="0">
                  <c:v>441</c:v>
                </c:pt>
                <c:pt idx="1">
                  <c:v>107</c:v>
                </c:pt>
                <c:pt idx="2" formatCode="#,##0">
                  <c:v>3384</c:v>
                </c:pt>
                <c:pt idx="3" formatCode="#,##0">
                  <c:v>4971</c:v>
                </c:pt>
                <c:pt idx="4" formatCode="#,##0">
                  <c:v>5784</c:v>
                </c:pt>
                <c:pt idx="5">
                  <c:v>58</c:v>
                </c:pt>
                <c:pt idx="6" formatCode="#,##0">
                  <c:v>1012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Plan1!$B$1</c:f>
              <c:strCache>
                <c:ptCount val="1"/>
                <c:pt idx="0">
                  <c:v>Acesso à Ouvidoria</c:v>
                </c:pt>
              </c:strCache>
            </c:strRef>
          </c:tx>
          <c:explosion val="25"/>
          <c:dPt>
            <c:idx val="0"/>
            <c:bubble3D val="0"/>
            <c:spPr>
              <a:solidFill>
                <a:srgbClr val="FF0000"/>
              </a:solidFill>
            </c:spPr>
          </c:dPt>
          <c:dPt>
            <c:idx val="1"/>
            <c:bubble3D val="0"/>
            <c:spPr>
              <a:solidFill>
                <a:srgbClr val="00B0F0"/>
              </a:solidFill>
            </c:spPr>
          </c:dPt>
          <c:dLbls>
            <c:showLegendKey val="0"/>
            <c:showVal val="1"/>
            <c:showCatName val="0"/>
            <c:showSerName val="0"/>
            <c:showPercent val="0"/>
            <c:showBubbleSize val="0"/>
            <c:showLeaderLines val="1"/>
          </c:dLbls>
          <c:cat>
            <c:strRef>
              <c:f>Plan1!$A$2:$A$5</c:f>
              <c:strCache>
                <c:ptCount val="4"/>
                <c:pt idx="0">
                  <c:v>E-mail</c:v>
                </c:pt>
                <c:pt idx="1">
                  <c:v>Telefone</c:v>
                </c:pt>
                <c:pt idx="2">
                  <c:v>Carta</c:v>
                </c:pt>
                <c:pt idx="3">
                  <c:v>Pessoalmente</c:v>
                </c:pt>
              </c:strCache>
            </c:strRef>
          </c:cat>
          <c:val>
            <c:numRef>
              <c:f>Plan1!$B$2:$B$5</c:f>
              <c:numCache>
                <c:formatCode>#,##0</c:formatCode>
                <c:ptCount val="4"/>
                <c:pt idx="0">
                  <c:v>12557</c:v>
                </c:pt>
                <c:pt idx="1">
                  <c:v>2972</c:v>
                </c:pt>
                <c:pt idx="2" formatCode="General">
                  <c:v>188</c:v>
                </c:pt>
                <c:pt idx="3" formatCode="General">
                  <c:v>40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Plan1!$B$1</c:f>
              <c:strCache>
                <c:ptCount val="1"/>
                <c:pt idx="0">
                  <c:v>2.011</c:v>
                </c:pt>
              </c:strCache>
            </c:strRef>
          </c:tx>
          <c:spPr>
            <a:solidFill>
              <a:srgbClr val="00B0F0"/>
            </a:solidFill>
          </c:spPr>
          <c:invertIfNegative val="0"/>
          <c:cat>
            <c:strRef>
              <c:f>Plan1!$A$2:$A$13</c:f>
              <c:strCache>
                <c:ptCount val="12"/>
                <c:pt idx="0">
                  <c:v>Janeiro</c:v>
                </c:pt>
                <c:pt idx="1">
                  <c:v>Fevereiro</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Plan1!$B$2:$B$13</c:f>
              <c:numCache>
                <c:formatCode>General</c:formatCode>
                <c:ptCount val="12"/>
                <c:pt idx="2">
                  <c:v>277</c:v>
                </c:pt>
                <c:pt idx="3">
                  <c:v>668</c:v>
                </c:pt>
                <c:pt idx="4">
                  <c:v>826</c:v>
                </c:pt>
                <c:pt idx="5">
                  <c:v>882</c:v>
                </c:pt>
                <c:pt idx="6">
                  <c:v>888</c:v>
                </c:pt>
                <c:pt idx="7" formatCode="#,##0">
                  <c:v>1102</c:v>
                </c:pt>
                <c:pt idx="8" formatCode="#,##0">
                  <c:v>1183</c:v>
                </c:pt>
                <c:pt idx="9">
                  <c:v>912</c:v>
                </c:pt>
                <c:pt idx="10" formatCode="#,##0">
                  <c:v>1166</c:v>
                </c:pt>
                <c:pt idx="11" formatCode="#,##0">
                  <c:v>1040</c:v>
                </c:pt>
              </c:numCache>
            </c:numRef>
          </c:val>
        </c:ser>
        <c:ser>
          <c:idx val="1"/>
          <c:order val="1"/>
          <c:tx>
            <c:strRef>
              <c:f>Plan1!$C$1</c:f>
              <c:strCache>
                <c:ptCount val="1"/>
                <c:pt idx="0">
                  <c:v>2.012</c:v>
                </c:pt>
              </c:strCache>
            </c:strRef>
          </c:tx>
          <c:spPr>
            <a:solidFill>
              <a:srgbClr val="7030A0"/>
            </a:solidFill>
          </c:spPr>
          <c:invertIfNegative val="0"/>
          <c:cat>
            <c:strRef>
              <c:f>Plan1!$A$2:$A$13</c:f>
              <c:strCache>
                <c:ptCount val="12"/>
                <c:pt idx="0">
                  <c:v>Janeiro</c:v>
                </c:pt>
                <c:pt idx="1">
                  <c:v>Fevereiro</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Plan1!$C$2:$C$13</c:f>
              <c:numCache>
                <c:formatCode>#,##0</c:formatCode>
                <c:ptCount val="12"/>
                <c:pt idx="0">
                  <c:v>1015</c:v>
                </c:pt>
                <c:pt idx="1">
                  <c:v>1060</c:v>
                </c:pt>
                <c:pt idx="2">
                  <c:v>1258</c:v>
                </c:pt>
                <c:pt idx="3">
                  <c:v>1184</c:v>
                </c:pt>
                <c:pt idx="4">
                  <c:v>1302</c:v>
                </c:pt>
                <c:pt idx="5">
                  <c:v>1154</c:v>
                </c:pt>
                <c:pt idx="6">
                  <c:v>1226</c:v>
                </c:pt>
                <c:pt idx="7">
                  <c:v>1329</c:v>
                </c:pt>
                <c:pt idx="8">
                  <c:v>1115</c:v>
                </c:pt>
                <c:pt idx="9">
                  <c:v>1353</c:v>
                </c:pt>
                <c:pt idx="10">
                  <c:v>1150</c:v>
                </c:pt>
                <c:pt idx="11">
                  <c:v>1026</c:v>
                </c:pt>
              </c:numCache>
            </c:numRef>
          </c:val>
        </c:ser>
        <c:ser>
          <c:idx val="2"/>
          <c:order val="2"/>
          <c:tx>
            <c:strRef>
              <c:f>Plan1!$D$1</c:f>
              <c:strCache>
                <c:ptCount val="1"/>
                <c:pt idx="0">
                  <c:v>2.013</c:v>
                </c:pt>
              </c:strCache>
            </c:strRef>
          </c:tx>
          <c:spPr>
            <a:solidFill>
              <a:srgbClr val="FF0000"/>
            </a:solidFill>
          </c:spPr>
          <c:invertIfNegative val="0"/>
          <c:cat>
            <c:strRef>
              <c:f>Plan1!$A$2:$A$13</c:f>
              <c:strCache>
                <c:ptCount val="12"/>
                <c:pt idx="0">
                  <c:v>Janeiro</c:v>
                </c:pt>
                <c:pt idx="1">
                  <c:v>Fevereiro</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Plan1!$D$2:$D$13</c:f>
              <c:numCache>
                <c:formatCode>#,##0</c:formatCode>
                <c:ptCount val="12"/>
                <c:pt idx="0">
                  <c:v>1288</c:v>
                </c:pt>
                <c:pt idx="1">
                  <c:v>1293</c:v>
                </c:pt>
                <c:pt idx="2">
                  <c:v>1178</c:v>
                </c:pt>
                <c:pt idx="3">
                  <c:v>1377</c:v>
                </c:pt>
                <c:pt idx="4">
                  <c:v>1072</c:v>
                </c:pt>
                <c:pt idx="5">
                  <c:v>1221</c:v>
                </c:pt>
                <c:pt idx="6">
                  <c:v>1288</c:v>
                </c:pt>
                <c:pt idx="7">
                  <c:v>1509</c:v>
                </c:pt>
                <c:pt idx="8">
                  <c:v>1669</c:v>
                </c:pt>
                <c:pt idx="9">
                  <c:v>1524</c:v>
                </c:pt>
                <c:pt idx="10">
                  <c:v>1276</c:v>
                </c:pt>
                <c:pt idx="11">
                  <c:v>1062</c:v>
                </c:pt>
              </c:numCache>
            </c:numRef>
          </c:val>
        </c:ser>
        <c:dLbls>
          <c:showLegendKey val="0"/>
          <c:showVal val="0"/>
          <c:showCatName val="0"/>
          <c:showSerName val="0"/>
          <c:showPercent val="0"/>
          <c:showBubbleSize val="0"/>
        </c:dLbls>
        <c:gapWidth val="150"/>
        <c:axId val="109344256"/>
        <c:axId val="109345792"/>
      </c:barChart>
      <c:catAx>
        <c:axId val="109344256"/>
        <c:scaling>
          <c:orientation val="minMax"/>
        </c:scaling>
        <c:delete val="0"/>
        <c:axPos val="b"/>
        <c:majorTickMark val="out"/>
        <c:minorTickMark val="none"/>
        <c:tickLblPos val="nextTo"/>
        <c:crossAx val="109345792"/>
        <c:crosses val="autoZero"/>
        <c:auto val="1"/>
        <c:lblAlgn val="ctr"/>
        <c:lblOffset val="100"/>
        <c:noMultiLvlLbl val="0"/>
      </c:catAx>
      <c:valAx>
        <c:axId val="109345792"/>
        <c:scaling>
          <c:orientation val="minMax"/>
        </c:scaling>
        <c:delete val="0"/>
        <c:axPos val="l"/>
        <c:majorGridlines/>
        <c:numFmt formatCode="General" sourceLinked="1"/>
        <c:majorTickMark val="out"/>
        <c:minorTickMark val="none"/>
        <c:tickLblPos val="nextTo"/>
        <c:crossAx val="1093442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D9480-090C-49FA-AD84-0CAF8B42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9</Pages>
  <Words>2281</Words>
  <Characters>12323</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MPSP</Company>
  <LinksUpToDate>false</LinksUpToDate>
  <CharactersWithSpaces>14575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MP</cp:lastModifiedBy>
  <cp:revision>7</cp:revision>
  <cp:lastPrinted>2012-04-11T17:59:00Z</cp:lastPrinted>
  <dcterms:created xsi:type="dcterms:W3CDTF">2014-01-17T17:22:00Z</dcterms:created>
  <dcterms:modified xsi:type="dcterms:W3CDTF">2014-01-21T13:36:00Z</dcterms:modified>
</cp:coreProperties>
</file>