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DD1" w:rsidRPr="00F06532" w:rsidRDefault="009C5DD1" w:rsidP="00F06532">
      <w:pPr>
        <w:jc w:val="center"/>
        <w:rPr>
          <w:sz w:val="32"/>
          <w:szCs w:val="32"/>
        </w:rPr>
      </w:pPr>
      <w:r w:rsidRPr="009C5DD1">
        <w:rPr>
          <w:sz w:val="32"/>
          <w:szCs w:val="32"/>
        </w:rPr>
        <w:t>RELATÓRIO</w:t>
      </w:r>
      <w:r w:rsidR="00846FB0">
        <w:rPr>
          <w:sz w:val="32"/>
          <w:szCs w:val="32"/>
        </w:rPr>
        <w:t xml:space="preserve"> DO </w:t>
      </w:r>
      <w:r w:rsidR="007460BE">
        <w:rPr>
          <w:sz w:val="32"/>
          <w:szCs w:val="32"/>
        </w:rPr>
        <w:t>1º TRIMESTRE DE 2</w:t>
      </w:r>
      <w:r w:rsidR="00F06532">
        <w:rPr>
          <w:sz w:val="32"/>
          <w:szCs w:val="32"/>
        </w:rPr>
        <w:t>.</w:t>
      </w:r>
      <w:r w:rsidR="007460BE">
        <w:rPr>
          <w:sz w:val="32"/>
          <w:szCs w:val="32"/>
        </w:rPr>
        <w:t>012</w:t>
      </w:r>
    </w:p>
    <w:p w:rsidR="000C28E4" w:rsidRDefault="000C28E4" w:rsidP="009C5DD1">
      <w:pPr>
        <w:ind w:firstLine="709"/>
        <w:jc w:val="both"/>
      </w:pPr>
    </w:p>
    <w:p w:rsidR="000C28E4" w:rsidRDefault="000C28E4" w:rsidP="009C5DD1">
      <w:pPr>
        <w:ind w:firstLine="709"/>
        <w:jc w:val="both"/>
      </w:pPr>
    </w:p>
    <w:p w:rsidR="000C28E4" w:rsidRDefault="000C28E4" w:rsidP="009C5DD1">
      <w:pPr>
        <w:ind w:firstLine="709"/>
        <w:jc w:val="both"/>
      </w:pPr>
    </w:p>
    <w:p w:rsidR="009C5DD1" w:rsidRDefault="009C5DD1" w:rsidP="009C5DD1">
      <w:pPr>
        <w:ind w:firstLine="709"/>
        <w:jc w:val="both"/>
      </w:pPr>
      <w:r>
        <w:t>Em cumprimento ao disposto no artigo 2º, inciso VII, da Lei Complementar n</w:t>
      </w:r>
      <w:r w:rsidR="002C4B10">
        <w:t>º 1.127, de 29 de novembro de 2</w:t>
      </w:r>
      <w:r w:rsidR="00F06532">
        <w:t>.</w:t>
      </w:r>
      <w:r>
        <w:t>010, apresentamos o relatório rela</w:t>
      </w:r>
      <w:r w:rsidR="002C4B10">
        <w:t xml:space="preserve">tivo ao </w:t>
      </w:r>
      <w:r w:rsidR="00B84DFB">
        <w:t>primeiro</w:t>
      </w:r>
      <w:r w:rsidR="002C4B10">
        <w:t xml:space="preserve"> trimestre de 2</w:t>
      </w:r>
      <w:r w:rsidR="00F06532">
        <w:t>.</w:t>
      </w:r>
      <w:r>
        <w:t>01</w:t>
      </w:r>
      <w:r w:rsidR="00B84DFB">
        <w:t>2</w:t>
      </w:r>
      <w:r>
        <w:t>.</w:t>
      </w:r>
    </w:p>
    <w:p w:rsidR="00B84DFB" w:rsidRDefault="008E30BF" w:rsidP="009C5DD1">
      <w:pPr>
        <w:ind w:firstLine="709"/>
        <w:jc w:val="both"/>
      </w:pPr>
      <w:r>
        <w:t xml:space="preserve">No </w:t>
      </w:r>
      <w:r w:rsidR="00B84DFB">
        <w:t>primeiro</w:t>
      </w:r>
      <w:r>
        <w:t xml:space="preserve"> trimestre de 2</w:t>
      </w:r>
      <w:r w:rsidR="00F06532">
        <w:t>.</w:t>
      </w:r>
      <w:r>
        <w:t>01</w:t>
      </w:r>
      <w:r w:rsidR="00B84DFB">
        <w:t>2</w:t>
      </w:r>
      <w:r>
        <w:t xml:space="preserve"> </w:t>
      </w:r>
      <w:r w:rsidR="001D02D6">
        <w:t>os</w:t>
      </w:r>
      <w:r>
        <w:t xml:space="preserve"> contatos da população com a Ouvidoria</w:t>
      </w:r>
      <w:r w:rsidR="001D02D6">
        <w:t xml:space="preserve"> </w:t>
      </w:r>
      <w:r w:rsidR="00B84DFB">
        <w:t>voltaram a aumentar</w:t>
      </w:r>
      <w:r w:rsidR="001D02D6">
        <w:t xml:space="preserve">. </w:t>
      </w:r>
      <w:r w:rsidR="00B84DFB">
        <w:t xml:space="preserve">Os números são crescentes e estão nos preocupando ante a falta de um sistema de informática eficiente, não só para controle do andamento e pesquisa sobre as manifestações recebidas, mas principalmente para que </w:t>
      </w:r>
      <w:r w:rsidR="00EF0761">
        <w:t>se extraiam</w:t>
      </w:r>
      <w:r w:rsidR="00B84DFB">
        <w:t xml:space="preserve"> estatísticas que possam orientar a eventual tomada de decisões por parte da Administração Superior do Ministério Público.</w:t>
      </w:r>
    </w:p>
    <w:p w:rsidR="008E30BF" w:rsidRDefault="00B84DFB" w:rsidP="009C5DD1">
      <w:pPr>
        <w:ind w:firstLine="709"/>
        <w:jc w:val="both"/>
      </w:pPr>
      <w:r>
        <w:t xml:space="preserve">Como a </w:t>
      </w:r>
      <w:r w:rsidR="009B4C39">
        <w:t>Ouvidoria transformou-se na</w:t>
      </w:r>
      <w:r w:rsidR="008E30BF">
        <w:t xml:space="preserve"> principal porta de acesso </w:t>
      </w:r>
      <w:r w:rsidR="00741B81">
        <w:t>d</w:t>
      </w:r>
      <w:r w:rsidR="008E30BF">
        <w:t>o Ministério Público para os cidadãos</w:t>
      </w:r>
      <w:r>
        <w:t xml:space="preserve">, é importante que a Instituição saiba quais são as demandas da população e </w:t>
      </w:r>
      <w:r w:rsidR="000605FD">
        <w:t>aproveite</w:t>
      </w:r>
      <w:r>
        <w:t xml:space="preserve"> essas informações para nortear seu planejamento estratégico</w:t>
      </w:r>
      <w:r w:rsidR="008E30BF">
        <w:t>.</w:t>
      </w:r>
    </w:p>
    <w:p w:rsidR="009B4C39" w:rsidRDefault="001D02D6" w:rsidP="009C5DD1">
      <w:pPr>
        <w:ind w:firstLine="709"/>
        <w:jc w:val="both"/>
      </w:pPr>
      <w:r>
        <w:t>Tem chamado a atenção da Ouvidoria o elevado número de manifestações em que as pessoas pedem a atuação da Instituição na área do consumidor, com ên</w:t>
      </w:r>
      <w:r w:rsidR="00B84DFB">
        <w:t xml:space="preserve">fase para o comércio eletrônico. Da mesma forma, é elevado o número de manifestações com reclamações a respeito dos bailes </w:t>
      </w:r>
      <w:r w:rsidR="00B84DFB" w:rsidRPr="000605FD">
        <w:rPr>
          <w:i/>
        </w:rPr>
        <w:t>funk</w:t>
      </w:r>
      <w:r w:rsidR="00B84DFB">
        <w:t>, sempre acompanhados de consumo de bebidas, entorpecentes</w:t>
      </w:r>
      <w:r w:rsidR="00D70A5D">
        <w:t xml:space="preserve"> e uso abusivo de aparelhos de som.</w:t>
      </w:r>
      <w:r w:rsidR="000605FD">
        <w:t xml:space="preserve"> Nesse último aspecto, são inúmeras as reclamações a respeito do abuso na utilização de aparelhos de som em veículos, inclusive vindas de cidades do interior, sem que as autoridades de fiscalização do trânsito ou policiais tomem providências.</w:t>
      </w:r>
      <w:r w:rsidR="006C35C0">
        <w:t xml:space="preserve"> No último mês do trimestre, inúmeras foram as manifestações a respeito da violência das torcidas organizadas de futebol.</w:t>
      </w:r>
    </w:p>
    <w:p w:rsidR="00F12A71" w:rsidRDefault="002D0702" w:rsidP="009C5DD1">
      <w:pPr>
        <w:ind w:firstLine="709"/>
        <w:jc w:val="both"/>
      </w:pPr>
      <w:r>
        <w:t>A</w:t>
      </w:r>
      <w:r w:rsidR="00602EEC">
        <w:t xml:space="preserve">pesar de haver sido designado mais um funcionário para a </w:t>
      </w:r>
      <w:r>
        <w:t>Ouvidoria</w:t>
      </w:r>
      <w:r w:rsidR="00602EEC">
        <w:t>, torna-se necessário ainda</w:t>
      </w:r>
      <w:r>
        <w:t xml:space="preserve"> </w:t>
      </w:r>
      <w:r w:rsidR="00FE08C9">
        <w:t xml:space="preserve">a designação de mais um oficial de promotoria para </w:t>
      </w:r>
      <w:r w:rsidR="006C35C0">
        <w:t>que o quadro de funcionários atinja o número ideal</w:t>
      </w:r>
      <w:r w:rsidR="00313760">
        <w:t>.</w:t>
      </w:r>
    </w:p>
    <w:p w:rsidR="00F12A71" w:rsidRDefault="00FE08C9" w:rsidP="009C5DD1">
      <w:pPr>
        <w:ind w:firstLine="709"/>
        <w:jc w:val="both"/>
      </w:pPr>
      <w:r>
        <w:t>Isto porque – n</w:t>
      </w:r>
      <w:r w:rsidR="00F12A71">
        <w:t xml:space="preserve">unca é demais lembrar </w:t>
      </w:r>
      <w:r>
        <w:t>–</w:t>
      </w:r>
      <w:r w:rsidR="006C35C0">
        <w:t xml:space="preserve"> </w:t>
      </w:r>
      <w:r w:rsidR="00F12A71">
        <w:t>em sábados, domingos e feriados, a população continua a enviar suas mensagens postulando a orientação ou a ação do Ministério Público, com acúmulo de mensagens a serem encaminhadas e respondidas nos dias úteis que se lhes seguem.</w:t>
      </w:r>
      <w:r w:rsidR="006C35C0">
        <w:t xml:space="preserve"> Além disso, temos os problemas normais decorrentes de férias, licenças, etc., com impacto no bom andamento dos trabalhos.</w:t>
      </w:r>
    </w:p>
    <w:p w:rsidR="009F09FD" w:rsidRDefault="00F12A71" w:rsidP="009C5DD1">
      <w:pPr>
        <w:ind w:firstLine="709"/>
        <w:jc w:val="both"/>
      </w:pPr>
      <w:r>
        <w:t xml:space="preserve">Temos percebido também que do conjunto das mensagens </w:t>
      </w:r>
      <w:r w:rsidR="006C35C0">
        <w:t xml:space="preserve">recebidas pela Ouvidoria </w:t>
      </w:r>
      <w:r>
        <w:t xml:space="preserve">podem ser extraídas estatísticas e informações que podem ser úteis aos órgãos da Administração Superior do Ministério Público, mas isso só poderá ser executado com a </w:t>
      </w:r>
      <w:r w:rsidR="009F09FD">
        <w:t xml:space="preserve">tomada de duas providências: o uso </w:t>
      </w:r>
      <w:r w:rsidR="00FE08C9">
        <w:t>de um sistema de informática eficiente</w:t>
      </w:r>
      <w:r w:rsidR="009F09FD">
        <w:t xml:space="preserve"> e pelo aumento do número de funcionários alocados na Ouvidoria.</w:t>
      </w:r>
    </w:p>
    <w:p w:rsidR="00BF60F2" w:rsidRDefault="00BF60F2" w:rsidP="00BF60F2">
      <w:pPr>
        <w:ind w:firstLine="709"/>
        <w:jc w:val="both"/>
      </w:pPr>
      <w:r>
        <w:lastRenderedPageBreak/>
        <w:t>No dia 16 de março de 2</w:t>
      </w:r>
      <w:r w:rsidR="00F06532">
        <w:t>.</w:t>
      </w:r>
      <w:r>
        <w:t>012 participamos da XII Reunião Ordinária do Conselho Nacional dos Ouvidores do Ministério Público (CNOMP), realizada em Porto Alegre, capital do Estado do Rio Grande do Sul. No transcorrer dessa reunião, houve a renovação da diretoria do Conselho Nacional dos Ouvidores do Ministério Público (CNOMP), cabendo ao Ouvidor do Ministério do Estado de São Paulo a Diretoria Financeira. Os dirigentes eleitos nessa reunião e que foram imediatamente empossados são: Presidente: Luiz Cláudio Varela Coelho, Ouvidor do Ministério Público do Estado do Rio Grande do Sul; Vice-presidente: Gilson Roberto de Melo Barbosa, Ouvidor do Ministério Público do Estado de Pernambuco; Secretária: Silvana Correa Vianna, Ouvidora do Ministério Público do Estado de Mato Grosso; e Diretor Financeiro: Fernando José Marques, Ou</w:t>
      </w:r>
      <w:r w:rsidR="00EF0761">
        <w:t>vidor do Ministério Público do E</w:t>
      </w:r>
      <w:r>
        <w:t>stado de São Paulo.</w:t>
      </w:r>
    </w:p>
    <w:p w:rsidR="008A690F" w:rsidRDefault="00B161A3" w:rsidP="009C5DD1">
      <w:pPr>
        <w:ind w:firstLine="709"/>
        <w:jc w:val="both"/>
      </w:pPr>
      <w:r>
        <w:t xml:space="preserve">As manifestações dirigidas à Ouvidoria, </w:t>
      </w:r>
      <w:r w:rsidR="00FE08C9">
        <w:t>no primeiro</w:t>
      </w:r>
      <w:r w:rsidR="00593298">
        <w:t xml:space="preserve"> trimestre de 2</w:t>
      </w:r>
      <w:r w:rsidR="00030594">
        <w:t>.</w:t>
      </w:r>
      <w:r w:rsidR="00593298">
        <w:t>01</w:t>
      </w:r>
      <w:r w:rsidR="00030594">
        <w:t>2</w:t>
      </w:r>
      <w:r>
        <w:t xml:space="preserve">, </w:t>
      </w:r>
      <w:r w:rsidR="00030594">
        <w:t>apresentaram ligeiro crescimento</w:t>
      </w:r>
      <w:r w:rsidR="00593298">
        <w:t xml:space="preserve"> em relação ao trimestre anterior</w:t>
      </w:r>
      <w:r>
        <w:t xml:space="preserve">. No mês de </w:t>
      </w:r>
      <w:r w:rsidR="00030594">
        <w:t>janeiro</w:t>
      </w:r>
      <w:r>
        <w:t xml:space="preserve"> foram </w:t>
      </w:r>
      <w:r w:rsidR="00030594">
        <w:t>1.015</w:t>
      </w:r>
      <w:r>
        <w:t xml:space="preserve"> (</w:t>
      </w:r>
      <w:r w:rsidR="00030594">
        <w:t>mil e quinze</w:t>
      </w:r>
      <w:r>
        <w:t xml:space="preserve">), em </w:t>
      </w:r>
      <w:r w:rsidR="00030594">
        <w:t>fevereiro</w:t>
      </w:r>
      <w:r>
        <w:t xml:space="preserve"> 1</w:t>
      </w:r>
      <w:r w:rsidR="00820723">
        <w:t>.</w:t>
      </w:r>
      <w:r w:rsidR="00030594">
        <w:t>0</w:t>
      </w:r>
      <w:r w:rsidR="00593298">
        <w:t>6</w:t>
      </w:r>
      <w:r w:rsidR="00030594">
        <w:t>0</w:t>
      </w:r>
      <w:r>
        <w:t xml:space="preserve"> (mil e </w:t>
      </w:r>
      <w:r w:rsidR="00593298">
        <w:t>sessenta</w:t>
      </w:r>
      <w:r>
        <w:t xml:space="preserve">) e em </w:t>
      </w:r>
      <w:r w:rsidR="00030594">
        <w:t>março</w:t>
      </w:r>
      <w:r>
        <w:t xml:space="preserve"> 1</w:t>
      </w:r>
      <w:r w:rsidR="00820723">
        <w:t>.</w:t>
      </w:r>
      <w:r w:rsidR="00030594">
        <w:t>258</w:t>
      </w:r>
      <w:r>
        <w:t xml:space="preserve"> (mil</w:t>
      </w:r>
      <w:r w:rsidR="00030594">
        <w:t>, duzentas e cinquenta e oito</w:t>
      </w:r>
      <w:r>
        <w:t>), resultando em 3.</w:t>
      </w:r>
      <w:r w:rsidR="00030594">
        <w:t>333</w:t>
      </w:r>
      <w:r>
        <w:t xml:space="preserve"> (três mil, </w:t>
      </w:r>
      <w:r w:rsidR="00030594">
        <w:t>trezentas e trinta e três</w:t>
      </w:r>
      <w:r>
        <w:t xml:space="preserve">) manifestações no </w:t>
      </w:r>
      <w:r w:rsidR="00030594">
        <w:t>1</w:t>
      </w:r>
      <w:r>
        <w:t>º trimestre de</w:t>
      </w:r>
      <w:r w:rsidR="00593298">
        <w:t xml:space="preserve"> 2</w:t>
      </w:r>
      <w:r w:rsidR="00030594">
        <w:t>.</w:t>
      </w:r>
      <w:r w:rsidR="00593298">
        <w:t>01</w:t>
      </w:r>
      <w:r w:rsidR="00030594">
        <w:t>2</w:t>
      </w:r>
      <w:r>
        <w:t>.</w:t>
      </w:r>
    </w:p>
    <w:p w:rsidR="00D06AAD" w:rsidRDefault="00D06AAD" w:rsidP="00D06AAD">
      <w:pPr>
        <w:ind w:firstLine="709"/>
        <w:jc w:val="both"/>
      </w:pPr>
      <w:r>
        <w:t>Procuraram a Ouvidoria quer pessoalmente quer por telefone, sendo orientadas a respeito de suas preocupações, sem que tenha sido gerado um protocolado, 4</w:t>
      </w:r>
      <w:r w:rsidR="00030594">
        <w:t>61</w:t>
      </w:r>
      <w:r>
        <w:t xml:space="preserve"> (quatrocentas e </w:t>
      </w:r>
      <w:r w:rsidR="00030594">
        <w:t>sessenta e uma</w:t>
      </w:r>
      <w:r>
        <w:t>) pessoas</w:t>
      </w:r>
      <w:r w:rsidR="00820723">
        <w:t xml:space="preserve">, sendo </w:t>
      </w:r>
      <w:r w:rsidR="00593298">
        <w:t>4</w:t>
      </w:r>
      <w:r w:rsidR="00030594">
        <w:t>39</w:t>
      </w:r>
      <w:r w:rsidR="005215D4">
        <w:t xml:space="preserve"> (</w:t>
      </w:r>
      <w:r w:rsidR="00593298">
        <w:t xml:space="preserve">quatrocentas e </w:t>
      </w:r>
      <w:r w:rsidR="00030594">
        <w:t>trinta e nove</w:t>
      </w:r>
      <w:r w:rsidR="005215D4">
        <w:t xml:space="preserve">) por telefone e </w:t>
      </w:r>
      <w:r w:rsidR="00030594">
        <w:t>22</w:t>
      </w:r>
      <w:r w:rsidR="005215D4">
        <w:t xml:space="preserve"> (</w:t>
      </w:r>
      <w:r w:rsidR="00030594">
        <w:t>vinte e duas</w:t>
      </w:r>
      <w:r w:rsidR="005215D4">
        <w:t>) pessoalmente</w:t>
      </w:r>
      <w:r>
        <w:t>.</w:t>
      </w:r>
    </w:p>
    <w:p w:rsidR="007154CB" w:rsidRDefault="00D06AAD" w:rsidP="009C5DD1">
      <w:pPr>
        <w:ind w:firstLine="709"/>
        <w:jc w:val="both"/>
      </w:pPr>
      <w:r>
        <w:t xml:space="preserve">As demais manifestações estão assim distribuídas: </w:t>
      </w:r>
      <w:r w:rsidR="00820723">
        <w:t>2.</w:t>
      </w:r>
      <w:r w:rsidR="00030594">
        <w:t>829</w:t>
      </w:r>
      <w:r>
        <w:t xml:space="preserve"> (</w:t>
      </w:r>
      <w:r w:rsidR="00820723">
        <w:t xml:space="preserve">duas </w:t>
      </w:r>
      <w:r>
        <w:t>mil</w:t>
      </w:r>
      <w:r w:rsidR="00030594">
        <w:t>, oitocentas</w:t>
      </w:r>
      <w:r w:rsidR="00593298">
        <w:t xml:space="preserve"> e</w:t>
      </w:r>
      <w:r w:rsidR="00030594">
        <w:t xml:space="preserve"> vinte e nove) mensagens por meio eletrônico e</w:t>
      </w:r>
      <w:r>
        <w:t xml:space="preserve"> </w:t>
      </w:r>
      <w:r w:rsidR="00030594">
        <w:t>4</w:t>
      </w:r>
      <w:r w:rsidR="00593298">
        <w:t>3</w:t>
      </w:r>
      <w:r w:rsidR="005215D4">
        <w:t xml:space="preserve"> (</w:t>
      </w:r>
      <w:r w:rsidR="00030594">
        <w:t>quarenta</w:t>
      </w:r>
      <w:r w:rsidR="00593298">
        <w:t xml:space="preserve"> e três</w:t>
      </w:r>
      <w:r w:rsidR="005215D4">
        <w:t>) por carta.</w:t>
      </w:r>
    </w:p>
    <w:p w:rsidR="0002107A" w:rsidRDefault="00820723" w:rsidP="009C5DD1">
      <w:pPr>
        <w:ind w:firstLine="709"/>
        <w:jc w:val="both"/>
      </w:pPr>
      <w:r>
        <w:t>Foram encerradas 2.</w:t>
      </w:r>
      <w:r w:rsidR="00030594">
        <w:t>872</w:t>
      </w:r>
      <w:r w:rsidR="0002107A">
        <w:t xml:space="preserve"> (</w:t>
      </w:r>
      <w:r>
        <w:t xml:space="preserve">duas </w:t>
      </w:r>
      <w:r w:rsidR="005215D4">
        <w:t>mil</w:t>
      </w:r>
      <w:r w:rsidR="00030594">
        <w:t>, oitocentas</w:t>
      </w:r>
      <w:r w:rsidR="00593298">
        <w:t xml:space="preserve"> e </w:t>
      </w:r>
      <w:r w:rsidR="00030594">
        <w:t>setenta e duas</w:t>
      </w:r>
      <w:r w:rsidR="0002107A">
        <w:t>) manifestações protocoladas. As demais aguardam resposta de diversos setores da Instituição</w:t>
      </w:r>
      <w:r w:rsidR="00593298">
        <w:t xml:space="preserve"> ou da Municipalidade de São Paulo</w:t>
      </w:r>
      <w:r w:rsidR="0002107A">
        <w:t>.</w:t>
      </w:r>
    </w:p>
    <w:p w:rsidR="00E05FED" w:rsidRDefault="00E05FED" w:rsidP="009C5DD1">
      <w:pPr>
        <w:ind w:firstLine="709"/>
        <w:jc w:val="both"/>
      </w:pPr>
      <w:r>
        <w:t xml:space="preserve">As manifestações protocoladas foram classificadas da seguinte forma: </w:t>
      </w:r>
    </w:p>
    <w:tbl>
      <w:tblPr>
        <w:tblStyle w:val="SombreamentoClaro-nfase1"/>
        <w:tblW w:w="8200" w:type="dxa"/>
        <w:tblLook w:val="04A0"/>
      </w:tblPr>
      <w:tblGrid>
        <w:gridCol w:w="7436"/>
        <w:gridCol w:w="764"/>
      </w:tblGrid>
      <w:tr w:rsidR="00F83B2A" w:rsidRPr="00943512" w:rsidTr="00F83B2A">
        <w:trPr>
          <w:cnfStyle w:val="100000000000"/>
          <w:trHeight w:val="402"/>
        </w:trPr>
        <w:tc>
          <w:tcPr>
            <w:cnfStyle w:val="001000000000"/>
            <w:tcW w:w="7436" w:type="dxa"/>
            <w:noWrap/>
            <w:hideMark/>
          </w:tcPr>
          <w:p w:rsidR="00F83B2A" w:rsidRDefault="00F83B2A" w:rsidP="00F770CF">
            <w:pPr>
              <w:spacing w:after="0" w:line="240" w:lineRule="auto"/>
              <w:rPr>
                <w:rFonts w:eastAsia="Times New Roman"/>
                <w:color w:val="000000"/>
                <w:sz w:val="24"/>
                <w:szCs w:val="24"/>
                <w:lang w:eastAsia="pt-BR"/>
              </w:rPr>
            </w:pPr>
          </w:p>
        </w:tc>
        <w:tc>
          <w:tcPr>
            <w:tcW w:w="764" w:type="dxa"/>
            <w:noWrap/>
            <w:hideMark/>
          </w:tcPr>
          <w:p w:rsidR="00F83B2A" w:rsidRDefault="00F83B2A" w:rsidP="00F770CF">
            <w:pPr>
              <w:spacing w:after="0" w:line="240" w:lineRule="auto"/>
              <w:jc w:val="center"/>
              <w:cnfStyle w:val="100000000000"/>
              <w:rPr>
                <w:rFonts w:eastAsia="Times New Roman"/>
                <w:color w:val="000000"/>
                <w:sz w:val="24"/>
                <w:szCs w:val="24"/>
                <w:lang w:eastAsia="pt-BR"/>
              </w:rPr>
            </w:pP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Apreciações e comentários</w:t>
            </w:r>
          </w:p>
        </w:tc>
        <w:tc>
          <w:tcPr>
            <w:tcW w:w="764" w:type="dxa"/>
            <w:noWrap/>
            <w:vAlign w:val="bottom"/>
            <w:hideMark/>
          </w:tcPr>
          <w:p w:rsidR="006C35C0" w:rsidRPr="00605CBC" w:rsidRDefault="006C35C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57</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Críticas e elogios</w:t>
            </w:r>
          </w:p>
        </w:tc>
        <w:tc>
          <w:tcPr>
            <w:tcW w:w="764" w:type="dxa"/>
            <w:noWrap/>
            <w:vAlign w:val="bottom"/>
            <w:hideMark/>
          </w:tcPr>
          <w:p w:rsidR="006C35C0" w:rsidRPr="00605CBC" w:rsidRDefault="006C35C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16</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Denúncias</w:t>
            </w:r>
          </w:p>
        </w:tc>
        <w:tc>
          <w:tcPr>
            <w:tcW w:w="764" w:type="dxa"/>
            <w:noWrap/>
            <w:vAlign w:val="bottom"/>
            <w:hideMark/>
          </w:tcPr>
          <w:p w:rsidR="006C35C0" w:rsidRPr="00605CBC" w:rsidRDefault="006C35C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786</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Pedido de informações</w:t>
            </w:r>
          </w:p>
        </w:tc>
        <w:tc>
          <w:tcPr>
            <w:tcW w:w="764" w:type="dxa"/>
            <w:noWrap/>
            <w:vAlign w:val="bottom"/>
            <w:hideMark/>
          </w:tcPr>
          <w:p w:rsidR="006C35C0" w:rsidRPr="00605CBC" w:rsidRDefault="006C35C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471</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Reclamações</w:t>
            </w:r>
          </w:p>
        </w:tc>
        <w:tc>
          <w:tcPr>
            <w:tcW w:w="764" w:type="dxa"/>
            <w:noWrap/>
            <w:vAlign w:val="bottom"/>
            <w:hideMark/>
          </w:tcPr>
          <w:p w:rsidR="006C35C0" w:rsidRPr="00605CBC" w:rsidRDefault="006C35C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1.516</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6C35C0"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Sugestões</w:t>
            </w:r>
          </w:p>
        </w:tc>
        <w:tc>
          <w:tcPr>
            <w:tcW w:w="764" w:type="dxa"/>
            <w:noWrap/>
            <w:vAlign w:val="bottom"/>
            <w:hideMark/>
          </w:tcPr>
          <w:p w:rsidR="006C35C0" w:rsidRPr="00605CBC" w:rsidRDefault="00F83B2A"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7</w:t>
            </w:r>
          </w:p>
        </w:tc>
      </w:tr>
      <w:tr w:rsidR="006C35C0" w:rsidRPr="00943512" w:rsidTr="00F83B2A">
        <w:trPr>
          <w:trHeight w:val="199"/>
        </w:trPr>
        <w:tc>
          <w:tcPr>
            <w:cnfStyle w:val="001000000000"/>
            <w:tcW w:w="8200" w:type="dxa"/>
            <w:gridSpan w:val="2"/>
            <w:noWrap/>
            <w:hideMark/>
          </w:tcPr>
          <w:p w:rsidR="006C35C0" w:rsidRPr="00605CBC" w:rsidRDefault="006C35C0" w:rsidP="00F770CF">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C35C0" w:rsidRPr="00943512" w:rsidTr="00F83B2A">
        <w:trPr>
          <w:cnfStyle w:val="000000100000"/>
          <w:trHeight w:val="402"/>
        </w:trPr>
        <w:tc>
          <w:tcPr>
            <w:cnfStyle w:val="001000000000"/>
            <w:tcW w:w="7436" w:type="dxa"/>
            <w:noWrap/>
            <w:hideMark/>
          </w:tcPr>
          <w:p w:rsidR="006C35C0" w:rsidRPr="00605CBC" w:rsidRDefault="00F83B2A" w:rsidP="00F770CF">
            <w:pPr>
              <w:spacing w:after="0" w:line="240" w:lineRule="auto"/>
              <w:rPr>
                <w:rFonts w:eastAsia="Times New Roman"/>
                <w:color w:val="000000"/>
                <w:sz w:val="24"/>
                <w:szCs w:val="24"/>
                <w:lang w:eastAsia="pt-BR"/>
              </w:rPr>
            </w:pPr>
            <w:r>
              <w:rPr>
                <w:rFonts w:eastAsia="Times New Roman"/>
                <w:color w:val="000000"/>
                <w:sz w:val="24"/>
                <w:szCs w:val="24"/>
                <w:lang w:eastAsia="pt-BR"/>
              </w:rPr>
              <w:t>Diversos</w:t>
            </w:r>
          </w:p>
        </w:tc>
        <w:tc>
          <w:tcPr>
            <w:tcW w:w="764" w:type="dxa"/>
            <w:noWrap/>
            <w:vAlign w:val="bottom"/>
            <w:hideMark/>
          </w:tcPr>
          <w:p w:rsidR="006C35C0" w:rsidRPr="00605CBC" w:rsidRDefault="00F83B2A"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19</w:t>
            </w:r>
          </w:p>
        </w:tc>
      </w:tr>
    </w:tbl>
    <w:p w:rsidR="000C28E4" w:rsidRDefault="000C28E4" w:rsidP="00F83B2A">
      <w:pPr>
        <w:jc w:val="both"/>
      </w:pPr>
    </w:p>
    <w:p w:rsidR="00F73BBC" w:rsidRDefault="00F73BBC" w:rsidP="009C5DD1">
      <w:pPr>
        <w:ind w:firstLine="709"/>
        <w:jc w:val="both"/>
      </w:pPr>
    </w:p>
    <w:p w:rsidR="009B7DF5" w:rsidRDefault="002C4B10" w:rsidP="009C5DD1">
      <w:pPr>
        <w:ind w:firstLine="709"/>
        <w:jc w:val="both"/>
      </w:pPr>
      <w:r>
        <w:t xml:space="preserve">As providências tomadas em relação às manifestações recebidas pela Ouvidoria estão relacionadas no quadro a seguir. </w:t>
      </w:r>
    </w:p>
    <w:p w:rsidR="009B7DF5" w:rsidRDefault="009B7DF5" w:rsidP="009C5DD1">
      <w:pPr>
        <w:ind w:firstLine="709"/>
        <w:jc w:val="both"/>
      </w:pPr>
    </w:p>
    <w:tbl>
      <w:tblPr>
        <w:tblStyle w:val="SombreamentoClaro-nfase1"/>
        <w:tblW w:w="8124" w:type="dxa"/>
        <w:tblLook w:val="04A0"/>
      </w:tblPr>
      <w:tblGrid>
        <w:gridCol w:w="7436"/>
        <w:gridCol w:w="764"/>
      </w:tblGrid>
      <w:tr w:rsidR="00605CBC" w:rsidRPr="00943512" w:rsidTr="002B58E8">
        <w:trPr>
          <w:cnfStyle w:val="100000000000"/>
          <w:trHeight w:val="402"/>
        </w:trPr>
        <w:tc>
          <w:tcPr>
            <w:cnfStyle w:val="001000000000"/>
            <w:tcW w:w="8124" w:type="dxa"/>
            <w:gridSpan w:val="2"/>
            <w:vMerge w:val="restart"/>
            <w:noWrap/>
            <w:hideMark/>
          </w:tcPr>
          <w:p w:rsidR="00605CBC" w:rsidRPr="00605CBC" w:rsidRDefault="00605CBC" w:rsidP="00605CBC">
            <w:pPr>
              <w:spacing w:after="0" w:line="240" w:lineRule="auto"/>
              <w:jc w:val="center"/>
              <w:rPr>
                <w:rFonts w:eastAsia="Times New Roman"/>
                <w:b w:val="0"/>
                <w:bCs w:val="0"/>
                <w:color w:val="000000"/>
                <w:sz w:val="24"/>
                <w:szCs w:val="24"/>
                <w:lang w:eastAsia="pt-BR"/>
              </w:rPr>
            </w:pPr>
            <w:r w:rsidRPr="00605CBC">
              <w:rPr>
                <w:rFonts w:eastAsia="Times New Roman"/>
                <w:color w:val="000000"/>
                <w:sz w:val="24"/>
                <w:szCs w:val="24"/>
                <w:lang w:eastAsia="pt-BR"/>
              </w:rPr>
              <w:t xml:space="preserve">PROVIDÊNCIAS </w:t>
            </w:r>
          </w:p>
        </w:tc>
      </w:tr>
      <w:tr w:rsidR="00605CBC" w:rsidRPr="00943512" w:rsidTr="002B58E8">
        <w:trPr>
          <w:cnfStyle w:val="000000100000"/>
          <w:trHeight w:val="402"/>
        </w:trPr>
        <w:tc>
          <w:tcPr>
            <w:cnfStyle w:val="001000000000"/>
            <w:tcW w:w="8124" w:type="dxa"/>
            <w:gridSpan w:val="2"/>
            <w:vMerge/>
            <w:hideMark/>
          </w:tcPr>
          <w:p w:rsidR="00605CBC" w:rsidRPr="00605CBC" w:rsidRDefault="00605CBC" w:rsidP="00605CBC">
            <w:pPr>
              <w:spacing w:after="0" w:line="240" w:lineRule="auto"/>
              <w:rPr>
                <w:rFonts w:eastAsia="Times New Roman"/>
                <w:b w:val="0"/>
                <w:bCs w:val="0"/>
                <w:color w:val="000000"/>
                <w:sz w:val="24"/>
                <w:szCs w:val="24"/>
                <w:lang w:eastAsia="pt-BR"/>
              </w:rPr>
            </w:pPr>
          </w:p>
        </w:tc>
      </w:tr>
      <w:tr w:rsidR="00605CBC" w:rsidRPr="00943512" w:rsidTr="002B58E8">
        <w:trPr>
          <w:trHeight w:val="300"/>
        </w:trPr>
        <w:tc>
          <w:tcPr>
            <w:cnfStyle w:val="001000000000"/>
            <w:tcW w:w="8124" w:type="dxa"/>
            <w:gridSpan w:val="2"/>
            <w:noWrap/>
            <w:hideMark/>
          </w:tcPr>
          <w:p w:rsidR="00605CBC" w:rsidRPr="00605CBC" w:rsidRDefault="00605CBC" w:rsidP="00605CBC">
            <w:pPr>
              <w:spacing w:after="0" w:line="240" w:lineRule="auto"/>
              <w:jc w:val="center"/>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à Promotoria de Justiça da região</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2B58E8">
              <w:rPr>
                <w:rFonts w:eastAsia="Times New Roman"/>
                <w:color w:val="000000"/>
                <w:sz w:val="24"/>
                <w:szCs w:val="24"/>
                <w:lang w:eastAsia="pt-BR"/>
              </w:rPr>
              <w:t>612</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Cível</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605CBC" w:rsidRPr="00605CBC">
              <w:rPr>
                <w:rFonts w:eastAsia="Times New Roman"/>
                <w:color w:val="000000"/>
                <w:sz w:val="24"/>
                <w:szCs w:val="24"/>
                <w:lang w:eastAsia="pt-BR"/>
              </w:rPr>
              <w:t>1</w:t>
            </w:r>
            <w:r w:rsidR="00AD4639">
              <w:rPr>
                <w:rFonts w:eastAsia="Times New Roman"/>
                <w:color w:val="000000"/>
                <w:sz w:val="24"/>
                <w:szCs w:val="24"/>
                <w:lang w:eastAsia="pt-BR"/>
              </w:rPr>
              <w:t>12</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Encaminhamento ao CAO Criminal</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B0220B">
              <w:rPr>
                <w:rFonts w:eastAsia="Times New Roman"/>
                <w:color w:val="000000"/>
                <w:sz w:val="24"/>
                <w:szCs w:val="24"/>
                <w:lang w:eastAsia="pt-BR"/>
              </w:rPr>
              <w:t>1</w:t>
            </w:r>
            <w:r w:rsidR="00AD4639">
              <w:rPr>
                <w:rFonts w:eastAsia="Times New Roman"/>
                <w:color w:val="000000"/>
                <w:sz w:val="24"/>
                <w:szCs w:val="24"/>
                <w:lang w:eastAsia="pt-BR"/>
              </w:rPr>
              <w:t>82</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AD4639" w:rsidTr="00F83B2A">
        <w:trPr>
          <w:cnfStyle w:val="000000100000"/>
          <w:trHeight w:val="402"/>
        </w:trPr>
        <w:tc>
          <w:tcPr>
            <w:cnfStyle w:val="001000000000"/>
            <w:tcW w:w="7436" w:type="dxa"/>
            <w:noWrap/>
            <w:vAlign w:val="bottom"/>
            <w:hideMark/>
          </w:tcPr>
          <w:p w:rsidR="00605CBC" w:rsidRPr="00605CBC" w:rsidRDefault="00B0220B" w:rsidP="00131766">
            <w:pPr>
              <w:spacing w:after="0" w:line="240" w:lineRule="auto"/>
              <w:rPr>
                <w:rFonts w:eastAsia="Times New Roman"/>
                <w:color w:val="000000"/>
                <w:sz w:val="24"/>
                <w:szCs w:val="24"/>
                <w:lang w:eastAsia="pt-BR"/>
              </w:rPr>
            </w:pPr>
            <w:r>
              <w:rPr>
                <w:rFonts w:eastAsia="Times New Roman"/>
                <w:color w:val="000000"/>
                <w:sz w:val="24"/>
                <w:szCs w:val="24"/>
                <w:lang w:eastAsia="pt-BR"/>
              </w:rPr>
              <w:t>Encaminhamento a Grupos Especiais</w:t>
            </w:r>
            <w:r w:rsidR="00741B81">
              <w:rPr>
                <w:rFonts w:eastAsia="Times New Roman"/>
                <w:color w:val="000000"/>
                <w:sz w:val="24"/>
                <w:szCs w:val="24"/>
                <w:lang w:eastAsia="pt-BR"/>
              </w:rPr>
              <w:t xml:space="preserve"> </w:t>
            </w:r>
            <w:r>
              <w:rPr>
                <w:rFonts w:eastAsia="Times New Roman"/>
                <w:color w:val="000000"/>
                <w:sz w:val="24"/>
                <w:szCs w:val="24"/>
                <w:lang w:eastAsia="pt-BR"/>
              </w:rPr>
              <w:t>(</w:t>
            </w:r>
            <w:r w:rsidR="00741B81">
              <w:rPr>
                <w:rFonts w:eastAsia="Times New Roman"/>
                <w:color w:val="000000"/>
                <w:sz w:val="24"/>
                <w:szCs w:val="24"/>
                <w:lang w:eastAsia="pt-BR"/>
              </w:rPr>
              <w:t>GAECO</w:t>
            </w:r>
            <w:r>
              <w:rPr>
                <w:rFonts w:eastAsia="Times New Roman"/>
                <w:color w:val="000000"/>
                <w:sz w:val="24"/>
                <w:szCs w:val="24"/>
                <w:lang w:eastAsia="pt-BR"/>
              </w:rPr>
              <w:t>/GEDUC/GEDEC/GECEP)</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AD4639">
              <w:rPr>
                <w:rFonts w:eastAsia="Times New Roman"/>
                <w:color w:val="000000"/>
                <w:sz w:val="24"/>
                <w:szCs w:val="24"/>
                <w:lang w:eastAsia="pt-BR"/>
              </w:rPr>
              <w:t>61</w:t>
            </w:r>
          </w:p>
        </w:tc>
      </w:tr>
      <w:tr w:rsidR="00605CBC" w:rsidRPr="00AD4639"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AD4639" w:rsidRPr="00AD4639" w:rsidTr="00F83B2A">
        <w:trPr>
          <w:cnfStyle w:val="000000100000"/>
          <w:trHeight w:val="403"/>
        </w:trPr>
        <w:tc>
          <w:tcPr>
            <w:cnfStyle w:val="001000000000"/>
            <w:tcW w:w="8124" w:type="dxa"/>
            <w:gridSpan w:val="2"/>
            <w:noWrap/>
            <w:vAlign w:val="bottom"/>
            <w:hideMark/>
          </w:tcPr>
          <w:p w:rsidR="00AD4639" w:rsidRPr="00605CBC" w:rsidRDefault="00A366BA" w:rsidP="00F83B2A">
            <w:pPr>
              <w:spacing w:after="0" w:line="240" w:lineRule="auto"/>
              <w:jc w:val="right"/>
              <w:rPr>
                <w:rFonts w:eastAsia="Times New Roman"/>
                <w:color w:val="000000"/>
                <w:sz w:val="24"/>
                <w:szCs w:val="24"/>
                <w:lang w:eastAsia="pt-BR"/>
              </w:rPr>
            </w:pPr>
            <w:r>
              <w:rPr>
                <w:rFonts w:eastAsia="Times New Roman"/>
                <w:color w:val="000000"/>
                <w:sz w:val="24"/>
                <w:szCs w:val="24"/>
                <w:lang w:eastAsia="pt-BR"/>
              </w:rPr>
              <w:t xml:space="preserve">Encaminhamento às Subprocuradorias </w:t>
            </w:r>
            <w:r w:rsidR="002B58E8">
              <w:rPr>
                <w:rFonts w:eastAsia="Times New Roman"/>
                <w:color w:val="000000"/>
                <w:sz w:val="24"/>
                <w:szCs w:val="24"/>
                <w:lang w:eastAsia="pt-BR"/>
              </w:rPr>
              <w:t xml:space="preserve">                                                            </w:t>
            </w:r>
            <w:r w:rsidR="00131766">
              <w:rPr>
                <w:rFonts w:eastAsia="Times New Roman"/>
                <w:color w:val="000000"/>
                <w:sz w:val="24"/>
                <w:szCs w:val="24"/>
                <w:lang w:eastAsia="pt-BR"/>
              </w:rPr>
              <w:t xml:space="preserve">      </w:t>
            </w:r>
            <w:r w:rsidR="002B58E8">
              <w:rPr>
                <w:rFonts w:eastAsia="Times New Roman"/>
                <w:color w:val="000000"/>
                <w:sz w:val="24"/>
                <w:szCs w:val="24"/>
                <w:lang w:eastAsia="pt-BR"/>
              </w:rPr>
              <w:t xml:space="preserve"> </w:t>
            </w:r>
            <w:r w:rsidR="00131766">
              <w:rPr>
                <w:rFonts w:eastAsia="Times New Roman"/>
                <w:color w:val="000000"/>
                <w:sz w:val="24"/>
                <w:szCs w:val="24"/>
                <w:lang w:eastAsia="pt-BR"/>
              </w:rPr>
              <w:t xml:space="preserve">   </w:t>
            </w:r>
            <w:r w:rsidR="002B58E8" w:rsidRPr="002B58E8">
              <w:rPr>
                <w:rFonts w:eastAsia="Times New Roman"/>
                <w:b w:val="0"/>
                <w:bCs w:val="0"/>
                <w:color w:val="000000"/>
                <w:sz w:val="24"/>
                <w:szCs w:val="24"/>
                <w:lang w:eastAsia="pt-BR"/>
              </w:rPr>
              <w:t>10</w:t>
            </w:r>
          </w:p>
        </w:tc>
      </w:tr>
      <w:tr w:rsidR="00A366BA" w:rsidRPr="00AD4639" w:rsidTr="00131766">
        <w:trPr>
          <w:trHeight w:val="199"/>
        </w:trPr>
        <w:tc>
          <w:tcPr>
            <w:cnfStyle w:val="001000000000"/>
            <w:tcW w:w="8124" w:type="dxa"/>
            <w:gridSpan w:val="2"/>
            <w:noWrap/>
            <w:vAlign w:val="bottom"/>
            <w:hideMark/>
          </w:tcPr>
          <w:p w:rsidR="00A366BA" w:rsidRPr="00605CBC" w:rsidRDefault="00A366BA" w:rsidP="00131766">
            <w:pPr>
              <w:spacing w:after="0" w:line="240" w:lineRule="auto"/>
              <w:rPr>
                <w:rFonts w:eastAsia="Times New Roman"/>
                <w:color w:val="000000"/>
                <w:sz w:val="24"/>
                <w:szCs w:val="24"/>
                <w:lang w:eastAsia="pt-BR"/>
              </w:rPr>
            </w:pPr>
          </w:p>
        </w:tc>
      </w:tr>
      <w:tr w:rsidR="00605CBC" w:rsidRPr="00943512" w:rsidTr="00F83B2A">
        <w:trPr>
          <w:cnfStyle w:val="000000100000"/>
          <w:trHeight w:val="402"/>
        </w:trPr>
        <w:tc>
          <w:tcPr>
            <w:cnfStyle w:val="001000000000"/>
            <w:tcW w:w="7436" w:type="dxa"/>
            <w:noWrap/>
            <w:vAlign w:val="bottom"/>
            <w:hideMark/>
          </w:tcPr>
          <w:p w:rsidR="00605CBC" w:rsidRPr="00605CBC" w:rsidRDefault="00741B81" w:rsidP="00131766">
            <w:pPr>
              <w:spacing w:after="0" w:line="240" w:lineRule="auto"/>
              <w:rPr>
                <w:rFonts w:eastAsia="Times New Roman"/>
                <w:color w:val="000000"/>
                <w:sz w:val="24"/>
                <w:szCs w:val="24"/>
                <w:lang w:eastAsia="pt-BR"/>
              </w:rPr>
            </w:pPr>
            <w:r>
              <w:rPr>
                <w:rFonts w:eastAsia="Times New Roman"/>
                <w:color w:val="000000"/>
                <w:sz w:val="24"/>
                <w:szCs w:val="24"/>
                <w:lang w:eastAsia="pt-BR"/>
              </w:rPr>
              <w:t xml:space="preserve">Encaminhamento à </w:t>
            </w:r>
            <w:r w:rsidRPr="00605CBC">
              <w:rPr>
                <w:rFonts w:eastAsia="Times New Roman"/>
                <w:color w:val="000000"/>
                <w:sz w:val="24"/>
                <w:szCs w:val="24"/>
                <w:lang w:eastAsia="pt-BR"/>
              </w:rPr>
              <w:t xml:space="preserve">Corregedoria </w:t>
            </w:r>
            <w:r w:rsidR="00131766">
              <w:rPr>
                <w:rFonts w:eastAsia="Times New Roman"/>
                <w:color w:val="000000"/>
                <w:sz w:val="24"/>
                <w:szCs w:val="24"/>
                <w:lang w:eastAsia="pt-BR"/>
              </w:rPr>
              <w:t>–</w:t>
            </w:r>
            <w:r w:rsidRPr="00605CBC">
              <w:rPr>
                <w:rFonts w:eastAsia="Times New Roman"/>
                <w:color w:val="000000"/>
                <w:sz w:val="24"/>
                <w:szCs w:val="24"/>
                <w:lang w:eastAsia="pt-BR"/>
              </w:rPr>
              <w:t xml:space="preserve"> MPSP</w:t>
            </w:r>
            <w:r w:rsidR="00131766">
              <w:rPr>
                <w:rFonts w:eastAsia="Times New Roman"/>
                <w:color w:val="000000"/>
                <w:sz w:val="24"/>
                <w:szCs w:val="24"/>
                <w:lang w:eastAsia="pt-BR"/>
              </w:rPr>
              <w:t xml:space="preserve">                </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AD4639">
              <w:rPr>
                <w:rFonts w:eastAsia="Times New Roman"/>
                <w:color w:val="000000"/>
                <w:sz w:val="24"/>
                <w:szCs w:val="24"/>
                <w:lang w:eastAsia="pt-BR"/>
              </w:rPr>
              <w:t>11</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741B81" w:rsidP="00F83B2A">
            <w:pPr>
              <w:spacing w:after="0" w:line="240" w:lineRule="auto"/>
              <w:rPr>
                <w:rFonts w:eastAsia="Times New Roman"/>
                <w:color w:val="000000"/>
                <w:sz w:val="24"/>
                <w:szCs w:val="24"/>
                <w:lang w:eastAsia="pt-BR"/>
              </w:rPr>
            </w:pPr>
            <w:r>
              <w:rPr>
                <w:rFonts w:eastAsia="Times New Roman"/>
                <w:color w:val="000000"/>
                <w:sz w:val="24"/>
                <w:szCs w:val="24"/>
                <w:lang w:eastAsia="pt-BR"/>
              </w:rPr>
              <w:t xml:space="preserve">Encaminhamento </w:t>
            </w:r>
            <w:r w:rsidR="00F83B2A">
              <w:rPr>
                <w:rFonts w:eastAsia="Times New Roman"/>
                <w:color w:val="000000"/>
                <w:sz w:val="24"/>
                <w:szCs w:val="24"/>
                <w:lang w:eastAsia="pt-BR"/>
              </w:rPr>
              <w:t>à</w:t>
            </w:r>
            <w:r>
              <w:rPr>
                <w:rFonts w:eastAsia="Times New Roman"/>
                <w:color w:val="000000"/>
                <w:sz w:val="24"/>
                <w:szCs w:val="24"/>
                <w:lang w:eastAsia="pt-BR"/>
              </w:rPr>
              <w:t xml:space="preserve"> </w:t>
            </w:r>
            <w:r w:rsidR="00F83B2A">
              <w:rPr>
                <w:rFonts w:eastAsia="Times New Roman"/>
                <w:color w:val="000000"/>
                <w:sz w:val="24"/>
                <w:szCs w:val="24"/>
                <w:lang w:eastAsia="pt-BR"/>
              </w:rPr>
              <w:t>DG/CRH/CEAF-ESMP</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593298">
              <w:rPr>
                <w:rFonts w:eastAsia="Times New Roman"/>
                <w:color w:val="000000"/>
                <w:sz w:val="24"/>
                <w:szCs w:val="24"/>
                <w:lang w:eastAsia="pt-BR"/>
              </w:rPr>
              <w:t>6</w:t>
            </w:r>
            <w:r w:rsidR="00AD4639">
              <w:rPr>
                <w:rFonts w:eastAsia="Times New Roman"/>
                <w:color w:val="000000"/>
                <w:sz w:val="24"/>
                <w:szCs w:val="24"/>
                <w:lang w:eastAsia="pt-BR"/>
              </w:rPr>
              <w:t>8</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Encaminhamento </w:t>
            </w:r>
            <w:r w:rsidR="00741B81">
              <w:rPr>
                <w:rFonts w:eastAsia="Times New Roman"/>
                <w:color w:val="000000"/>
                <w:sz w:val="24"/>
                <w:szCs w:val="24"/>
                <w:lang w:eastAsia="pt-BR"/>
              </w:rPr>
              <w:t>a órgãos externos</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AD4639">
              <w:rPr>
                <w:rFonts w:eastAsia="Times New Roman"/>
                <w:color w:val="000000"/>
                <w:sz w:val="24"/>
                <w:szCs w:val="24"/>
                <w:lang w:eastAsia="pt-BR"/>
              </w:rPr>
              <w:t>47</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741B81"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xml:space="preserve">Orientação e/ou esclarecimentos ao </w:t>
            </w:r>
            <w:r>
              <w:rPr>
                <w:rFonts w:eastAsia="Times New Roman"/>
                <w:color w:val="000000"/>
                <w:sz w:val="24"/>
                <w:szCs w:val="24"/>
                <w:lang w:eastAsia="pt-BR"/>
              </w:rPr>
              <w:t>manifestante</w:t>
            </w:r>
          </w:p>
        </w:tc>
        <w:tc>
          <w:tcPr>
            <w:tcW w:w="688" w:type="dxa"/>
            <w:noWrap/>
            <w:vAlign w:val="bottom"/>
            <w:hideMark/>
          </w:tcPr>
          <w:p w:rsidR="00605CBC" w:rsidRPr="00605CBC" w:rsidRDefault="00AD4639"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1.576</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p>
        </w:tc>
      </w:tr>
      <w:tr w:rsidR="00605CBC" w:rsidRPr="00943512" w:rsidTr="00F83B2A">
        <w:trPr>
          <w:cnfStyle w:val="000000100000"/>
          <w:trHeight w:val="402"/>
        </w:trPr>
        <w:tc>
          <w:tcPr>
            <w:cnfStyle w:val="001000000000"/>
            <w:tcW w:w="7436" w:type="dxa"/>
            <w:noWrap/>
            <w:vAlign w:val="bottom"/>
            <w:hideMark/>
          </w:tcPr>
          <w:p w:rsidR="00605CBC" w:rsidRPr="00605CBC" w:rsidRDefault="00741B81"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Arquivados por falta de elementos para seguimento</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w:t>
            </w:r>
            <w:r w:rsidR="00741B81">
              <w:rPr>
                <w:rFonts w:eastAsia="Times New Roman"/>
                <w:color w:val="000000"/>
                <w:sz w:val="24"/>
                <w:szCs w:val="24"/>
                <w:lang w:eastAsia="pt-BR"/>
              </w:rPr>
              <w:t>2</w:t>
            </w:r>
            <w:r w:rsidR="00AD4639">
              <w:rPr>
                <w:rFonts w:eastAsia="Times New Roman"/>
                <w:color w:val="000000"/>
                <w:sz w:val="24"/>
                <w:szCs w:val="24"/>
                <w:lang w:eastAsia="pt-BR"/>
              </w:rPr>
              <w:t>56</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p>
        </w:tc>
      </w:tr>
      <w:tr w:rsidR="00605CBC" w:rsidRPr="00943512" w:rsidTr="00F83B2A">
        <w:trPr>
          <w:cnfStyle w:val="000000100000"/>
          <w:trHeight w:val="402"/>
        </w:trPr>
        <w:tc>
          <w:tcPr>
            <w:cnfStyle w:val="001000000000"/>
            <w:tcW w:w="7436" w:type="dxa"/>
            <w:noWrap/>
            <w:vAlign w:val="bottom"/>
            <w:hideMark/>
          </w:tcPr>
          <w:p w:rsidR="00605CBC" w:rsidRPr="00605CBC" w:rsidRDefault="00741B81" w:rsidP="00131766">
            <w:pPr>
              <w:spacing w:after="0" w:line="240" w:lineRule="auto"/>
              <w:rPr>
                <w:rFonts w:eastAsia="Times New Roman"/>
                <w:color w:val="000000"/>
                <w:sz w:val="24"/>
                <w:szCs w:val="24"/>
                <w:lang w:eastAsia="pt-BR"/>
              </w:rPr>
            </w:pPr>
            <w:r>
              <w:rPr>
                <w:rFonts w:eastAsia="Times New Roman"/>
                <w:color w:val="000000"/>
                <w:sz w:val="24"/>
                <w:szCs w:val="24"/>
                <w:lang w:eastAsia="pt-BR"/>
              </w:rPr>
              <w:t>Denúncias anônimas encaminhadas</w:t>
            </w:r>
          </w:p>
        </w:tc>
        <w:tc>
          <w:tcPr>
            <w:tcW w:w="688" w:type="dxa"/>
            <w:noWrap/>
            <w:vAlign w:val="bottom"/>
            <w:hideMark/>
          </w:tcPr>
          <w:p w:rsidR="00605CBC" w:rsidRPr="00605CBC" w:rsidRDefault="00FE29F0"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38</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p>
        </w:tc>
      </w:tr>
      <w:tr w:rsidR="00605CBC" w:rsidRPr="00943512" w:rsidTr="00F83B2A">
        <w:trPr>
          <w:cnfStyle w:val="000000100000"/>
          <w:trHeight w:val="402"/>
        </w:trPr>
        <w:tc>
          <w:tcPr>
            <w:cnfStyle w:val="001000000000"/>
            <w:tcW w:w="7436" w:type="dxa"/>
            <w:noWrap/>
            <w:vAlign w:val="bottom"/>
            <w:hideMark/>
          </w:tcPr>
          <w:p w:rsidR="00605CBC" w:rsidRPr="00605CBC" w:rsidRDefault="00E05FED" w:rsidP="00131766">
            <w:pPr>
              <w:spacing w:after="0" w:line="240" w:lineRule="auto"/>
              <w:rPr>
                <w:rFonts w:eastAsia="Times New Roman"/>
                <w:color w:val="000000"/>
                <w:sz w:val="24"/>
                <w:szCs w:val="24"/>
                <w:lang w:eastAsia="pt-BR"/>
              </w:rPr>
            </w:pPr>
            <w:r>
              <w:rPr>
                <w:rFonts w:eastAsia="Times New Roman"/>
                <w:color w:val="000000"/>
                <w:sz w:val="24"/>
                <w:szCs w:val="24"/>
                <w:lang w:eastAsia="pt-BR"/>
              </w:rPr>
              <w:t>Protocolados encerrados</w:t>
            </w:r>
          </w:p>
        </w:tc>
        <w:tc>
          <w:tcPr>
            <w:tcW w:w="688" w:type="dxa"/>
            <w:noWrap/>
            <w:vAlign w:val="bottom"/>
            <w:hideMark/>
          </w:tcPr>
          <w:p w:rsidR="00605CBC" w:rsidRPr="00605CBC" w:rsidRDefault="00F83B2A"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3.469</w:t>
            </w:r>
          </w:p>
        </w:tc>
      </w:tr>
      <w:tr w:rsidR="00605CBC" w:rsidRPr="00943512" w:rsidTr="00131766">
        <w:trPr>
          <w:trHeight w:val="199"/>
        </w:trPr>
        <w:tc>
          <w:tcPr>
            <w:cnfStyle w:val="001000000000"/>
            <w:tcW w:w="8124" w:type="dxa"/>
            <w:gridSpan w:val="2"/>
            <w:noWrap/>
            <w:vAlign w:val="bottom"/>
            <w:hideMark/>
          </w:tcPr>
          <w:p w:rsidR="00605CBC" w:rsidRPr="00605CBC" w:rsidRDefault="00605CBC" w:rsidP="00131766">
            <w:pPr>
              <w:spacing w:after="0" w:line="240" w:lineRule="auto"/>
              <w:rPr>
                <w:rFonts w:eastAsia="Times New Roman"/>
                <w:color w:val="000000"/>
                <w:sz w:val="24"/>
                <w:szCs w:val="24"/>
                <w:lang w:eastAsia="pt-BR"/>
              </w:rPr>
            </w:pPr>
            <w:r w:rsidRPr="00605CBC">
              <w:rPr>
                <w:rFonts w:eastAsia="Times New Roman"/>
                <w:color w:val="000000"/>
                <w:sz w:val="24"/>
                <w:szCs w:val="24"/>
                <w:lang w:eastAsia="pt-BR"/>
              </w:rPr>
              <w:t> </w:t>
            </w:r>
          </w:p>
        </w:tc>
      </w:tr>
      <w:tr w:rsidR="00605CBC" w:rsidRPr="00943512" w:rsidTr="00F83B2A">
        <w:trPr>
          <w:cnfStyle w:val="000000100000"/>
          <w:trHeight w:val="402"/>
        </w:trPr>
        <w:tc>
          <w:tcPr>
            <w:cnfStyle w:val="001000000000"/>
            <w:tcW w:w="7436" w:type="dxa"/>
            <w:noWrap/>
            <w:vAlign w:val="bottom"/>
            <w:hideMark/>
          </w:tcPr>
          <w:p w:rsidR="00605CBC" w:rsidRPr="00605CBC" w:rsidRDefault="00E05FED" w:rsidP="00131766">
            <w:pPr>
              <w:spacing w:after="0" w:line="240" w:lineRule="auto"/>
              <w:rPr>
                <w:rFonts w:eastAsia="Times New Roman"/>
                <w:color w:val="000000"/>
                <w:sz w:val="24"/>
                <w:szCs w:val="24"/>
                <w:lang w:eastAsia="pt-BR"/>
              </w:rPr>
            </w:pPr>
            <w:r>
              <w:rPr>
                <w:rFonts w:eastAsia="Times New Roman"/>
                <w:color w:val="000000"/>
                <w:sz w:val="24"/>
                <w:szCs w:val="24"/>
                <w:lang w:eastAsia="pt-BR"/>
              </w:rPr>
              <w:t>Protocolados em andamento</w:t>
            </w:r>
          </w:p>
        </w:tc>
        <w:tc>
          <w:tcPr>
            <w:tcW w:w="688" w:type="dxa"/>
            <w:noWrap/>
            <w:vAlign w:val="bottom"/>
            <w:hideMark/>
          </w:tcPr>
          <w:p w:rsidR="00605CBC" w:rsidRPr="00605CBC" w:rsidRDefault="00131766" w:rsidP="00F83B2A">
            <w:pPr>
              <w:spacing w:after="0" w:line="240" w:lineRule="auto"/>
              <w:jc w:val="right"/>
              <w:cnfStyle w:val="000000100000"/>
              <w:rPr>
                <w:rFonts w:eastAsia="Times New Roman"/>
                <w:color w:val="000000"/>
                <w:sz w:val="24"/>
                <w:szCs w:val="24"/>
                <w:lang w:eastAsia="pt-BR"/>
              </w:rPr>
            </w:pPr>
            <w:r>
              <w:rPr>
                <w:rFonts w:eastAsia="Times New Roman"/>
                <w:color w:val="000000"/>
                <w:sz w:val="24"/>
                <w:szCs w:val="24"/>
                <w:lang w:eastAsia="pt-BR"/>
              </w:rPr>
              <w:t xml:space="preserve">       0 </w:t>
            </w:r>
          </w:p>
        </w:tc>
      </w:tr>
    </w:tbl>
    <w:p w:rsidR="00E05FED" w:rsidRDefault="00E05FED" w:rsidP="009C5DD1">
      <w:pPr>
        <w:ind w:firstLine="709"/>
        <w:jc w:val="both"/>
      </w:pPr>
    </w:p>
    <w:p w:rsidR="00E05FED" w:rsidRDefault="00E05FED" w:rsidP="009C5DD1">
      <w:pPr>
        <w:ind w:firstLine="709"/>
        <w:jc w:val="both"/>
      </w:pPr>
    </w:p>
    <w:p w:rsidR="00E05FED" w:rsidRDefault="00E05FED" w:rsidP="009C5DD1">
      <w:pPr>
        <w:ind w:firstLine="709"/>
        <w:jc w:val="both"/>
      </w:pPr>
    </w:p>
    <w:p w:rsidR="00136B17" w:rsidRDefault="00605CBC" w:rsidP="009C5DD1">
      <w:pPr>
        <w:ind w:firstLine="709"/>
        <w:jc w:val="both"/>
      </w:pPr>
      <w:r>
        <w:t>A seguir, apresentamos dois gráficos ilustrativos a respeito das manifestações enviadas à Ouvidoria.</w:t>
      </w:r>
    </w:p>
    <w:p w:rsidR="007B178E" w:rsidRDefault="00FE29F0">
      <w:pPr>
        <w:spacing w:after="0" w:line="240" w:lineRule="auto"/>
      </w:pPr>
      <w:r>
        <w:rPr>
          <w:noProof/>
          <w:lang w:eastAsia="pt-BR"/>
        </w:rPr>
        <w:lastRenderedPageBreak/>
        <w:drawing>
          <wp:inline distT="0" distB="0" distL="0" distR="0">
            <wp:extent cx="5393558" cy="3211735"/>
            <wp:effectExtent l="19050" t="0" r="16642" b="771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6B17" w:rsidRDefault="00136B17" w:rsidP="00931D9B">
      <w:pPr>
        <w:jc w:val="both"/>
      </w:pPr>
    </w:p>
    <w:p w:rsidR="0001698F" w:rsidRDefault="0001698F" w:rsidP="00931D9B">
      <w:pPr>
        <w:jc w:val="both"/>
      </w:pPr>
    </w:p>
    <w:p w:rsidR="0001698F" w:rsidRDefault="0001698F" w:rsidP="00931D9B">
      <w:pPr>
        <w:jc w:val="both"/>
      </w:pPr>
    </w:p>
    <w:p w:rsidR="0001698F" w:rsidRDefault="0001698F" w:rsidP="00931D9B">
      <w:pPr>
        <w:jc w:val="both"/>
      </w:pPr>
    </w:p>
    <w:p w:rsidR="007B178E" w:rsidRDefault="00DD4B05" w:rsidP="0001698F">
      <w:pPr>
        <w:jc w:val="both"/>
      </w:pPr>
      <w:r>
        <w:rPr>
          <w:noProof/>
          <w:lang w:eastAsia="pt-BR"/>
        </w:rPr>
        <w:drawing>
          <wp:inline distT="0" distB="0" distL="0" distR="0">
            <wp:extent cx="5400040" cy="3150235"/>
            <wp:effectExtent l="19050" t="0" r="1016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178E" w:rsidRDefault="007B178E" w:rsidP="007B178E">
      <w:pPr>
        <w:jc w:val="both"/>
      </w:pPr>
    </w:p>
    <w:p w:rsidR="0035713D" w:rsidRDefault="0035713D" w:rsidP="00931D9B">
      <w:pPr>
        <w:jc w:val="both"/>
      </w:pPr>
    </w:p>
    <w:p w:rsidR="0035713D" w:rsidRDefault="00136B17" w:rsidP="0035713D">
      <w:pPr>
        <w:ind w:firstLine="709"/>
        <w:jc w:val="both"/>
      </w:pPr>
      <w:r>
        <w:br w:type="page"/>
      </w:r>
    </w:p>
    <w:p w:rsidR="00931D9B" w:rsidRDefault="0001698F" w:rsidP="00C42D7D">
      <w:pPr>
        <w:ind w:firstLine="709"/>
        <w:jc w:val="both"/>
      </w:pPr>
      <w:r>
        <w:lastRenderedPageBreak/>
        <w:t>Desde a instalação da Ouvidoria em março de 2.011 até março de 2.012, como afirmado anteriormente, o número de manifestações só tem crescido. O gráfico seguinte demonstra a evolução, mês a mês, da quantidade de manifestações recebidas pela Ouvidoria do Ministério Público.</w:t>
      </w:r>
    </w:p>
    <w:p w:rsidR="00342774" w:rsidRDefault="00342774" w:rsidP="00342774">
      <w:pPr>
        <w:jc w:val="both"/>
      </w:pPr>
    </w:p>
    <w:p w:rsidR="00342774" w:rsidRDefault="00342774" w:rsidP="00342774">
      <w:pPr>
        <w:jc w:val="both"/>
      </w:pPr>
    </w:p>
    <w:p w:rsidR="0001698F" w:rsidRDefault="0001698F" w:rsidP="00342774">
      <w:pPr>
        <w:jc w:val="both"/>
      </w:pPr>
      <w:r>
        <w:rPr>
          <w:noProof/>
          <w:lang w:eastAsia="pt-BR"/>
        </w:rPr>
        <w:drawing>
          <wp:inline distT="0" distB="0" distL="0" distR="0">
            <wp:extent cx="5400040" cy="3150235"/>
            <wp:effectExtent l="19050" t="0" r="1016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2810" w:rsidRDefault="00832810" w:rsidP="00C42D7D">
      <w:pPr>
        <w:ind w:firstLine="709"/>
        <w:jc w:val="both"/>
      </w:pPr>
    </w:p>
    <w:p w:rsidR="00832810" w:rsidRDefault="0005423C" w:rsidP="00C42D7D">
      <w:pPr>
        <w:ind w:firstLine="709"/>
        <w:jc w:val="both"/>
      </w:pPr>
      <w:r>
        <w:t xml:space="preserve">Como se vê, a Ouvidoria está desenvolvendo uma importante função de intermediação entre a sociedade e os diversos setores do Ministério Público. Essa importância está sendo reconhecida pelos cidadãos, que recorrem cada vez mais à Ouvidoria para pleitear a intervenção do </w:t>
      </w:r>
      <w:r w:rsidRPr="0005423C">
        <w:rPr>
          <w:i/>
        </w:rPr>
        <w:t>parquet</w:t>
      </w:r>
      <w:r>
        <w:t xml:space="preserve"> na esperança de resolver os mais diversos problemas que os afligem.</w:t>
      </w:r>
    </w:p>
    <w:p w:rsidR="00C93392" w:rsidRDefault="006120AC" w:rsidP="00C42D7D">
      <w:pPr>
        <w:ind w:firstLine="709"/>
        <w:jc w:val="both"/>
      </w:pPr>
      <w:r>
        <w:t xml:space="preserve">Dessa forma, </w:t>
      </w:r>
      <w:r w:rsidR="00C93392">
        <w:t xml:space="preserve">a Ouvidoria </w:t>
      </w:r>
      <w:r>
        <w:t>prossegue em seu objetivo de f</w:t>
      </w:r>
      <w:r w:rsidRPr="006120AC">
        <w:t>ortalecer a cidadania e elevar, continuamente, os padrões de transparência, presteza e segurança das atividades desenvolvidas pelo Ministério Público</w:t>
      </w:r>
      <w:r w:rsidR="00C93392">
        <w:t>.</w:t>
      </w:r>
    </w:p>
    <w:p w:rsidR="00C93392" w:rsidRDefault="00C93392" w:rsidP="00C42D7D">
      <w:pPr>
        <w:ind w:firstLine="709"/>
        <w:jc w:val="both"/>
      </w:pPr>
    </w:p>
    <w:p w:rsidR="00DA25F9" w:rsidRDefault="00DA25F9" w:rsidP="00C42D7D">
      <w:pPr>
        <w:ind w:firstLine="709"/>
        <w:jc w:val="both"/>
      </w:pPr>
    </w:p>
    <w:p w:rsidR="00FF4D02" w:rsidRDefault="00FF4D02" w:rsidP="00C42D7D">
      <w:pPr>
        <w:ind w:firstLine="709"/>
        <w:jc w:val="both"/>
      </w:pPr>
    </w:p>
    <w:p w:rsidR="00FF4D02" w:rsidRPr="00FF4D02" w:rsidRDefault="00FF4D02" w:rsidP="00FF4D02">
      <w:pPr>
        <w:spacing w:after="0"/>
        <w:jc w:val="center"/>
        <w:rPr>
          <w:b/>
        </w:rPr>
      </w:pPr>
      <w:r w:rsidRPr="00FF4D02">
        <w:rPr>
          <w:b/>
        </w:rPr>
        <w:t>Fernando José Marques</w:t>
      </w:r>
    </w:p>
    <w:p w:rsidR="00FF4D02" w:rsidRDefault="00FF4D02" w:rsidP="00FF4D02">
      <w:pPr>
        <w:spacing w:after="0"/>
        <w:jc w:val="center"/>
      </w:pPr>
      <w:r>
        <w:t>Procurador de Justiça</w:t>
      </w:r>
    </w:p>
    <w:p w:rsidR="00FF4D02" w:rsidRDefault="00FF4D02" w:rsidP="00FF4D02">
      <w:pPr>
        <w:spacing w:after="0"/>
        <w:jc w:val="center"/>
      </w:pPr>
      <w:r>
        <w:t>Ouvidor</w:t>
      </w:r>
    </w:p>
    <w:p w:rsidR="00FF4D02" w:rsidRDefault="00FF4D02" w:rsidP="00C42D7D">
      <w:pPr>
        <w:ind w:firstLine="709"/>
        <w:jc w:val="both"/>
      </w:pPr>
    </w:p>
    <w:sectPr w:rsidR="00FF4D02" w:rsidSect="0005423C">
      <w:footerReference w:type="default" r:id="rId10"/>
      <w:pgSz w:w="11906" w:h="16838"/>
      <w:pgMar w:top="1418" w:right="1134"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B1A" w:rsidRDefault="00725B1A" w:rsidP="0080377D">
      <w:pPr>
        <w:spacing w:after="0" w:line="240" w:lineRule="auto"/>
      </w:pPr>
      <w:r>
        <w:separator/>
      </w:r>
    </w:p>
  </w:endnote>
  <w:endnote w:type="continuationSeparator" w:id="0">
    <w:p w:rsidR="00725B1A" w:rsidRDefault="00725B1A" w:rsidP="00803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0F" w:rsidRDefault="00962D64">
    <w:pPr>
      <w:pStyle w:val="Rodap"/>
      <w:jc w:val="right"/>
    </w:pPr>
    <w:fldSimple w:instr=" PAGE   \* MERGEFORMAT ">
      <w:r w:rsidR="00EF0761">
        <w:rPr>
          <w:noProof/>
        </w:rPr>
        <w:t>4</w:t>
      </w:r>
    </w:fldSimple>
  </w:p>
  <w:p w:rsidR="008A690F" w:rsidRDefault="008A690F" w:rsidP="0080377D">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B1A" w:rsidRDefault="00725B1A" w:rsidP="0080377D">
      <w:pPr>
        <w:spacing w:after="0" w:line="240" w:lineRule="auto"/>
      </w:pPr>
      <w:r>
        <w:separator/>
      </w:r>
    </w:p>
  </w:footnote>
  <w:footnote w:type="continuationSeparator" w:id="0">
    <w:p w:rsidR="00725B1A" w:rsidRDefault="00725B1A" w:rsidP="008037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1"/>
    <w:footnote w:id="0"/>
  </w:footnotePr>
  <w:endnotePr>
    <w:endnote w:id="-1"/>
    <w:endnote w:id="0"/>
  </w:endnotePr>
  <w:compat/>
  <w:rsids>
    <w:rsidRoot w:val="009C5DD1"/>
    <w:rsid w:val="0001270B"/>
    <w:rsid w:val="0001698F"/>
    <w:rsid w:val="0002107A"/>
    <w:rsid w:val="00022FB6"/>
    <w:rsid w:val="00030594"/>
    <w:rsid w:val="0005423C"/>
    <w:rsid w:val="000605FD"/>
    <w:rsid w:val="000671B9"/>
    <w:rsid w:val="00076904"/>
    <w:rsid w:val="000830B8"/>
    <w:rsid w:val="000B7B58"/>
    <w:rsid w:val="000C28E4"/>
    <w:rsid w:val="000E5F22"/>
    <w:rsid w:val="00131766"/>
    <w:rsid w:val="00136B17"/>
    <w:rsid w:val="0014161E"/>
    <w:rsid w:val="001A6892"/>
    <w:rsid w:val="001C5A10"/>
    <w:rsid w:val="001D02D6"/>
    <w:rsid w:val="002071F7"/>
    <w:rsid w:val="00273EF1"/>
    <w:rsid w:val="002A2315"/>
    <w:rsid w:val="002B58E8"/>
    <w:rsid w:val="002C4B10"/>
    <w:rsid w:val="002D0702"/>
    <w:rsid w:val="002E647C"/>
    <w:rsid w:val="00301971"/>
    <w:rsid w:val="0031206A"/>
    <w:rsid w:val="00313760"/>
    <w:rsid w:val="003410E5"/>
    <w:rsid w:val="00342774"/>
    <w:rsid w:val="00343CA4"/>
    <w:rsid w:val="0035713D"/>
    <w:rsid w:val="003C7BBE"/>
    <w:rsid w:val="0040443F"/>
    <w:rsid w:val="00420F59"/>
    <w:rsid w:val="00434155"/>
    <w:rsid w:val="00435CC5"/>
    <w:rsid w:val="00464E85"/>
    <w:rsid w:val="00465AF3"/>
    <w:rsid w:val="00503B1D"/>
    <w:rsid w:val="005215D4"/>
    <w:rsid w:val="00586D61"/>
    <w:rsid w:val="00587FE0"/>
    <w:rsid w:val="00593298"/>
    <w:rsid w:val="005E4E1E"/>
    <w:rsid w:val="00602EEC"/>
    <w:rsid w:val="00605CBC"/>
    <w:rsid w:val="006120AC"/>
    <w:rsid w:val="006646B3"/>
    <w:rsid w:val="0067531F"/>
    <w:rsid w:val="006865FB"/>
    <w:rsid w:val="006A4604"/>
    <w:rsid w:val="006C35C0"/>
    <w:rsid w:val="007154CB"/>
    <w:rsid w:val="00715B25"/>
    <w:rsid w:val="00715B68"/>
    <w:rsid w:val="00725B1A"/>
    <w:rsid w:val="007331D4"/>
    <w:rsid w:val="00736E34"/>
    <w:rsid w:val="00737A3E"/>
    <w:rsid w:val="00741B81"/>
    <w:rsid w:val="007460BE"/>
    <w:rsid w:val="00766328"/>
    <w:rsid w:val="007B178E"/>
    <w:rsid w:val="007C7EEB"/>
    <w:rsid w:val="007D5F91"/>
    <w:rsid w:val="0080377D"/>
    <w:rsid w:val="00820723"/>
    <w:rsid w:val="00832810"/>
    <w:rsid w:val="00846FB0"/>
    <w:rsid w:val="008737A0"/>
    <w:rsid w:val="00877F1B"/>
    <w:rsid w:val="008A690F"/>
    <w:rsid w:val="008B5020"/>
    <w:rsid w:val="008D5443"/>
    <w:rsid w:val="008E30BF"/>
    <w:rsid w:val="00931D9B"/>
    <w:rsid w:val="00943512"/>
    <w:rsid w:val="00962D64"/>
    <w:rsid w:val="0097289D"/>
    <w:rsid w:val="00976069"/>
    <w:rsid w:val="009B4C39"/>
    <w:rsid w:val="009B7DF5"/>
    <w:rsid w:val="009C5DD1"/>
    <w:rsid w:val="009F09FD"/>
    <w:rsid w:val="00A21390"/>
    <w:rsid w:val="00A35589"/>
    <w:rsid w:val="00A366BA"/>
    <w:rsid w:val="00A66324"/>
    <w:rsid w:val="00AD4639"/>
    <w:rsid w:val="00B0220B"/>
    <w:rsid w:val="00B12B38"/>
    <w:rsid w:val="00B161A3"/>
    <w:rsid w:val="00B84DFB"/>
    <w:rsid w:val="00BD52D5"/>
    <w:rsid w:val="00BF60F2"/>
    <w:rsid w:val="00C10AF5"/>
    <w:rsid w:val="00C14463"/>
    <w:rsid w:val="00C42D7D"/>
    <w:rsid w:val="00C60759"/>
    <w:rsid w:val="00C93392"/>
    <w:rsid w:val="00CA589B"/>
    <w:rsid w:val="00CB70CD"/>
    <w:rsid w:val="00D017AA"/>
    <w:rsid w:val="00D06AAD"/>
    <w:rsid w:val="00D279D2"/>
    <w:rsid w:val="00D43645"/>
    <w:rsid w:val="00D57AAF"/>
    <w:rsid w:val="00D70A5D"/>
    <w:rsid w:val="00D70DB9"/>
    <w:rsid w:val="00DA25F9"/>
    <w:rsid w:val="00DC03AE"/>
    <w:rsid w:val="00DD4B05"/>
    <w:rsid w:val="00DD5C30"/>
    <w:rsid w:val="00DF1F38"/>
    <w:rsid w:val="00E05FED"/>
    <w:rsid w:val="00E161D4"/>
    <w:rsid w:val="00E247DC"/>
    <w:rsid w:val="00E35A47"/>
    <w:rsid w:val="00E35A75"/>
    <w:rsid w:val="00E401F5"/>
    <w:rsid w:val="00E6011C"/>
    <w:rsid w:val="00ED535F"/>
    <w:rsid w:val="00EF0761"/>
    <w:rsid w:val="00F06532"/>
    <w:rsid w:val="00F12A71"/>
    <w:rsid w:val="00F13668"/>
    <w:rsid w:val="00F277C4"/>
    <w:rsid w:val="00F73BBC"/>
    <w:rsid w:val="00F83B2A"/>
    <w:rsid w:val="00FE08C9"/>
    <w:rsid w:val="00FE29F0"/>
    <w:rsid w:val="00FF3B7D"/>
    <w:rsid w:val="00FF4D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A75"/>
    <w:pPr>
      <w:spacing w:after="200" w:line="276" w:lineRule="auto"/>
    </w:pPr>
    <w:rPr>
      <w:sz w:val="22"/>
      <w:szCs w:val="22"/>
      <w:lang w:eastAsia="en-US"/>
    </w:rPr>
  </w:style>
  <w:style w:type="paragraph" w:styleId="Ttulo1">
    <w:name w:val="heading 1"/>
    <w:basedOn w:val="Normal"/>
    <w:link w:val="Ttulo1Char"/>
    <w:uiPriority w:val="9"/>
    <w:qFormat/>
    <w:rsid w:val="0097289D"/>
    <w:pPr>
      <w:spacing w:before="100" w:beforeAutospacing="1" w:after="100" w:afterAutospacing="1" w:line="240" w:lineRule="auto"/>
      <w:outlineLvl w:val="0"/>
    </w:pPr>
    <w:rPr>
      <w:rFonts w:ascii="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89D"/>
    <w:rPr>
      <w:rFonts w:ascii="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503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03B1D"/>
    <w:rPr>
      <w:rFonts w:ascii="Tahoma" w:hAnsi="Tahoma" w:cs="Tahoma"/>
      <w:sz w:val="16"/>
      <w:szCs w:val="16"/>
    </w:rPr>
  </w:style>
  <w:style w:type="paragraph" w:styleId="Cabealho">
    <w:name w:val="header"/>
    <w:basedOn w:val="Normal"/>
    <w:link w:val="CabealhoChar"/>
    <w:uiPriority w:val="99"/>
    <w:semiHidden/>
    <w:unhideWhenUsed/>
    <w:rsid w:val="0080377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0377D"/>
  </w:style>
  <w:style w:type="paragraph" w:styleId="Rodap">
    <w:name w:val="footer"/>
    <w:basedOn w:val="Normal"/>
    <w:link w:val="RodapChar"/>
    <w:uiPriority w:val="99"/>
    <w:unhideWhenUsed/>
    <w:rsid w:val="0080377D"/>
    <w:pPr>
      <w:tabs>
        <w:tab w:val="center" w:pos="4252"/>
        <w:tab w:val="right" w:pos="8504"/>
      </w:tabs>
      <w:spacing w:after="0" w:line="240" w:lineRule="auto"/>
    </w:pPr>
  </w:style>
  <w:style w:type="character" w:customStyle="1" w:styleId="RodapChar">
    <w:name w:val="Rodapé Char"/>
    <w:basedOn w:val="Fontepargpadro"/>
    <w:link w:val="Rodap"/>
    <w:uiPriority w:val="99"/>
    <w:rsid w:val="0080377D"/>
  </w:style>
  <w:style w:type="table" w:styleId="Tabelacomgrade">
    <w:name w:val="Table Grid"/>
    <w:basedOn w:val="Tabelanormal"/>
    <w:uiPriority w:val="59"/>
    <w:rsid w:val="002B58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mentoClaro-nfase1">
    <w:name w:val="Light Shading Accent 1"/>
    <w:basedOn w:val="Tabelanormal"/>
    <w:uiPriority w:val="60"/>
    <w:rsid w:val="002B58E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71274543">
      <w:bodyDiv w:val="1"/>
      <w:marLeft w:val="0"/>
      <w:marRight w:val="0"/>
      <w:marTop w:val="0"/>
      <w:marBottom w:val="0"/>
      <w:divBdr>
        <w:top w:val="none" w:sz="0" w:space="0" w:color="auto"/>
        <w:left w:val="none" w:sz="0" w:space="0" w:color="auto"/>
        <w:bottom w:val="none" w:sz="0" w:space="0" w:color="auto"/>
        <w:right w:val="none" w:sz="0" w:space="0" w:color="auto"/>
      </w:divBdr>
    </w:div>
    <w:div w:id="724525815">
      <w:bodyDiv w:val="1"/>
      <w:marLeft w:val="0"/>
      <w:marRight w:val="0"/>
      <w:marTop w:val="0"/>
      <w:marBottom w:val="0"/>
      <w:divBdr>
        <w:top w:val="none" w:sz="0" w:space="0" w:color="auto"/>
        <w:left w:val="none" w:sz="0" w:space="0" w:color="auto"/>
        <w:bottom w:val="none" w:sz="0" w:space="0" w:color="auto"/>
        <w:right w:val="none" w:sz="0" w:space="0" w:color="auto"/>
      </w:divBdr>
    </w:div>
    <w:div w:id="20618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plotArea>
      <c:layout/>
      <c:pieChart>
        <c:varyColors val="1"/>
        <c:ser>
          <c:idx val="0"/>
          <c:order val="0"/>
          <c:tx>
            <c:strRef>
              <c:f>Plan1!$B$1</c:f>
              <c:strCache>
                <c:ptCount val="1"/>
                <c:pt idx="0">
                  <c:v>Manifestações</c:v>
                </c:pt>
              </c:strCache>
            </c:strRef>
          </c:tx>
          <c:explosion val="25"/>
          <c:dPt>
            <c:idx val="0"/>
            <c:spPr>
              <a:solidFill>
                <a:schemeClr val="accent1"/>
              </a:solidFill>
            </c:spPr>
          </c:dPt>
          <c:dPt>
            <c:idx val="1"/>
            <c:spPr>
              <a:solidFill>
                <a:srgbClr val="FFFF00"/>
              </a:solidFill>
            </c:spPr>
          </c:dPt>
          <c:dPt>
            <c:idx val="2"/>
            <c:spPr>
              <a:solidFill>
                <a:srgbClr val="00B0F0"/>
              </a:solidFill>
            </c:spPr>
          </c:dPt>
          <c:dPt>
            <c:idx val="3"/>
            <c:spPr>
              <a:solidFill>
                <a:srgbClr val="7030A0"/>
              </a:solidFill>
            </c:spPr>
          </c:dPt>
          <c:dPt>
            <c:idx val="4"/>
            <c:spPr>
              <a:solidFill>
                <a:srgbClr val="FF0000"/>
              </a:solidFill>
            </c:spPr>
          </c:dPt>
          <c:dPt>
            <c:idx val="6"/>
            <c:spPr>
              <a:solidFill>
                <a:srgbClr val="00B050"/>
              </a:solidFill>
            </c:spPr>
          </c:dPt>
          <c:dLbls>
            <c:showVal val="1"/>
            <c:showLeaderLines val="1"/>
          </c:dLbls>
          <c:cat>
            <c:strRef>
              <c:f>Plan1!$A$2:$A$8</c:f>
              <c:strCache>
                <c:ptCount val="7"/>
                <c:pt idx="0">
                  <c:v>Apreciações e comentários</c:v>
                </c:pt>
                <c:pt idx="1">
                  <c:v>Críticas e elogios</c:v>
                </c:pt>
                <c:pt idx="2">
                  <c:v>Denúncias</c:v>
                </c:pt>
                <c:pt idx="3">
                  <c:v>Pedido de informações</c:v>
                </c:pt>
                <c:pt idx="4">
                  <c:v>Reclamações</c:v>
                </c:pt>
                <c:pt idx="5">
                  <c:v>Sugestões</c:v>
                </c:pt>
                <c:pt idx="6">
                  <c:v>Diversos</c:v>
                </c:pt>
              </c:strCache>
            </c:strRef>
          </c:cat>
          <c:val>
            <c:numRef>
              <c:f>Plan1!$B$2:$B$8</c:f>
              <c:numCache>
                <c:formatCode>General</c:formatCode>
                <c:ptCount val="7"/>
                <c:pt idx="0">
                  <c:v>57</c:v>
                </c:pt>
                <c:pt idx="1">
                  <c:v>16</c:v>
                </c:pt>
                <c:pt idx="2">
                  <c:v>786</c:v>
                </c:pt>
                <c:pt idx="3">
                  <c:v>471</c:v>
                </c:pt>
                <c:pt idx="4" formatCode="#,##0">
                  <c:v>1516</c:v>
                </c:pt>
                <c:pt idx="5">
                  <c:v>7</c:v>
                </c:pt>
                <c:pt idx="6">
                  <c:v>19</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plotArea>
      <c:layout/>
      <c:pieChart>
        <c:varyColors val="1"/>
        <c:ser>
          <c:idx val="0"/>
          <c:order val="0"/>
          <c:tx>
            <c:strRef>
              <c:f>Plan1!$B$1</c:f>
              <c:strCache>
                <c:ptCount val="1"/>
                <c:pt idx="0">
                  <c:v>Acesso à Ouvidoria</c:v>
                </c:pt>
              </c:strCache>
            </c:strRef>
          </c:tx>
          <c:explosion val="25"/>
          <c:dPt>
            <c:idx val="0"/>
            <c:spPr>
              <a:solidFill>
                <a:srgbClr val="FF0000"/>
              </a:solidFill>
            </c:spPr>
          </c:dPt>
          <c:dPt>
            <c:idx val="1"/>
            <c:spPr>
              <a:solidFill>
                <a:srgbClr val="00B0F0"/>
              </a:solidFill>
            </c:spPr>
          </c:dPt>
          <c:dPt>
            <c:idx val="2"/>
            <c:spPr>
              <a:solidFill>
                <a:srgbClr val="FFFF00"/>
              </a:solidFill>
            </c:spPr>
          </c:dPt>
          <c:dPt>
            <c:idx val="3"/>
            <c:spPr>
              <a:solidFill>
                <a:srgbClr val="7030A0"/>
              </a:solidFill>
            </c:spPr>
          </c:dPt>
          <c:dLbls>
            <c:showVal val="1"/>
            <c:showLeaderLines val="1"/>
          </c:dLbls>
          <c:cat>
            <c:strRef>
              <c:f>Plan1!$A$2:$A$5</c:f>
              <c:strCache>
                <c:ptCount val="4"/>
                <c:pt idx="0">
                  <c:v>E-mail</c:v>
                </c:pt>
                <c:pt idx="1">
                  <c:v>Telefone</c:v>
                </c:pt>
                <c:pt idx="2">
                  <c:v>Carta</c:v>
                </c:pt>
                <c:pt idx="3">
                  <c:v>Pessoalmente</c:v>
                </c:pt>
              </c:strCache>
            </c:strRef>
          </c:cat>
          <c:val>
            <c:numRef>
              <c:f>Plan1!$B$2:$B$5</c:f>
              <c:numCache>
                <c:formatCode>General</c:formatCode>
                <c:ptCount val="4"/>
                <c:pt idx="0" formatCode="#,##0">
                  <c:v>2829</c:v>
                </c:pt>
                <c:pt idx="1">
                  <c:v>439</c:v>
                </c:pt>
                <c:pt idx="2">
                  <c:v>43</c:v>
                </c:pt>
                <c:pt idx="3">
                  <c:v>22</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Manifestações Recebidas</a:t>
            </a:r>
          </a:p>
        </c:rich>
      </c:tx>
    </c:title>
    <c:plotArea>
      <c:layout/>
      <c:barChart>
        <c:barDir val="col"/>
        <c:grouping val="clustered"/>
        <c:ser>
          <c:idx val="0"/>
          <c:order val="0"/>
          <c:tx>
            <c:strRef>
              <c:f>Plan1!$B$1</c:f>
              <c:strCache>
                <c:ptCount val="1"/>
                <c:pt idx="0">
                  <c:v>2.011</c:v>
                </c:pt>
              </c:strCache>
            </c:strRef>
          </c:tx>
          <c:spPr>
            <a:solidFill>
              <a:srgbClr val="00B0F0"/>
            </a:solidFill>
          </c:spPr>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Plan1!$B$2:$B$13</c:f>
              <c:numCache>
                <c:formatCode>General</c:formatCode>
                <c:ptCount val="12"/>
                <c:pt idx="0">
                  <c:v>0</c:v>
                </c:pt>
                <c:pt idx="1">
                  <c:v>0</c:v>
                </c:pt>
                <c:pt idx="2">
                  <c:v>277</c:v>
                </c:pt>
                <c:pt idx="3">
                  <c:v>668</c:v>
                </c:pt>
                <c:pt idx="4">
                  <c:v>826</c:v>
                </c:pt>
                <c:pt idx="5">
                  <c:v>882</c:v>
                </c:pt>
                <c:pt idx="6">
                  <c:v>888</c:v>
                </c:pt>
                <c:pt idx="7" formatCode="#,##0">
                  <c:v>1102</c:v>
                </c:pt>
                <c:pt idx="8" formatCode="#,##0">
                  <c:v>1183</c:v>
                </c:pt>
                <c:pt idx="9">
                  <c:v>912</c:v>
                </c:pt>
                <c:pt idx="10" formatCode="#,##0">
                  <c:v>1166</c:v>
                </c:pt>
                <c:pt idx="11" formatCode="#,##0">
                  <c:v>1040</c:v>
                </c:pt>
              </c:numCache>
            </c:numRef>
          </c:val>
        </c:ser>
        <c:ser>
          <c:idx val="1"/>
          <c:order val="1"/>
          <c:tx>
            <c:strRef>
              <c:f>Plan1!$C$1</c:f>
              <c:strCache>
                <c:ptCount val="1"/>
                <c:pt idx="0">
                  <c:v>2.012</c:v>
                </c:pt>
              </c:strCache>
            </c:strRef>
          </c:tx>
          <c:spPr>
            <a:solidFill>
              <a:srgbClr val="FF0000"/>
            </a:solidFill>
          </c:spPr>
          <c:cat>
            <c:strRef>
              <c:f>Plan1!$A$2:$A$13</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Plan1!$C$2:$C$13</c:f>
              <c:numCache>
                <c:formatCode>#,##0</c:formatCode>
                <c:ptCount val="12"/>
                <c:pt idx="0">
                  <c:v>1015</c:v>
                </c:pt>
                <c:pt idx="1">
                  <c:v>1060</c:v>
                </c:pt>
                <c:pt idx="2">
                  <c:v>1258</c:v>
                </c:pt>
              </c:numCache>
            </c:numRef>
          </c:val>
        </c:ser>
        <c:axId val="72827648"/>
        <c:axId val="72829184"/>
      </c:barChart>
      <c:catAx>
        <c:axId val="72827648"/>
        <c:scaling>
          <c:orientation val="minMax"/>
        </c:scaling>
        <c:axPos val="b"/>
        <c:majorTickMark val="none"/>
        <c:tickLblPos val="nextTo"/>
        <c:crossAx val="72829184"/>
        <c:crosses val="autoZero"/>
        <c:auto val="1"/>
        <c:lblAlgn val="ctr"/>
        <c:lblOffset val="100"/>
      </c:catAx>
      <c:valAx>
        <c:axId val="72829184"/>
        <c:scaling>
          <c:orientation val="minMax"/>
        </c:scaling>
        <c:axPos val="l"/>
        <c:majorGridlines/>
        <c:numFmt formatCode="General" sourceLinked="1"/>
        <c:majorTickMark val="none"/>
        <c:tickLblPos val="nextTo"/>
        <c:crossAx val="72827648"/>
        <c:crosses val="autoZero"/>
        <c:crossBetween val="between"/>
      </c:valAx>
    </c:plotArea>
    <c:legend>
      <c:legendPos val="r"/>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pt-BR"/>
        </a:p>
      </c:txP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80B3-3A57-4484-927C-C83AAFD6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1025</Words>
  <Characters>5537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MPSP</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MP</cp:lastModifiedBy>
  <cp:revision>7</cp:revision>
  <cp:lastPrinted>2012-04-11T17:59:00Z</cp:lastPrinted>
  <dcterms:created xsi:type="dcterms:W3CDTF">2012-04-09T19:20:00Z</dcterms:created>
  <dcterms:modified xsi:type="dcterms:W3CDTF">2012-04-12T13:39:00Z</dcterms:modified>
</cp:coreProperties>
</file>